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32F9A" w14:textId="50194199" w:rsidR="00675EE3" w:rsidRDefault="002F08B7" w:rsidP="004560B8">
      <w:pPr>
        <w:spacing w:after="240" w:line="276" w:lineRule="auto"/>
        <w:rPr>
          <w:rFonts w:ascii="Arial" w:hAnsi="Arial" w:cs="Arial"/>
          <w:b/>
          <w:bCs/>
          <w:color w:val="000000"/>
          <w:sz w:val="22"/>
          <w:szCs w:val="22"/>
        </w:rPr>
      </w:pPr>
      <w:r>
        <w:rPr>
          <w:rFonts w:ascii="Arial" w:hAnsi="Arial" w:cs="Arial"/>
          <w:b/>
          <w:bCs/>
          <w:color w:val="000000"/>
          <w:sz w:val="22"/>
          <w:szCs w:val="22"/>
        </w:rPr>
        <w:t xml:space="preserve">Supplementary </w:t>
      </w:r>
      <w:r w:rsidR="000E5D4F">
        <w:rPr>
          <w:rFonts w:ascii="Arial" w:hAnsi="Arial" w:cs="Arial"/>
          <w:b/>
          <w:bCs/>
          <w:color w:val="000000"/>
          <w:sz w:val="22"/>
          <w:szCs w:val="22"/>
        </w:rPr>
        <w:t>M</w:t>
      </w:r>
      <w:r w:rsidR="00675EE3" w:rsidRPr="006C7265">
        <w:rPr>
          <w:rFonts w:ascii="Arial" w:hAnsi="Arial" w:cs="Arial"/>
          <w:b/>
          <w:bCs/>
          <w:color w:val="000000"/>
          <w:sz w:val="22"/>
          <w:szCs w:val="22"/>
        </w:rPr>
        <w:t>ethods </w:t>
      </w:r>
    </w:p>
    <w:p w14:paraId="07502FFA" w14:textId="77777777" w:rsidR="00675EE3" w:rsidRPr="006C7265" w:rsidRDefault="00675EE3" w:rsidP="004560B8">
      <w:pPr>
        <w:spacing w:line="276" w:lineRule="auto"/>
        <w:rPr>
          <w:sz w:val="22"/>
          <w:szCs w:val="22"/>
        </w:rPr>
      </w:pPr>
      <w:r w:rsidRPr="006C7265">
        <w:rPr>
          <w:rFonts w:ascii="Arial" w:hAnsi="Arial" w:cs="Arial"/>
          <w:b/>
          <w:bCs/>
          <w:color w:val="000000"/>
          <w:sz w:val="22"/>
          <w:szCs w:val="22"/>
        </w:rPr>
        <w:t xml:space="preserve">Microfluidic Device </w:t>
      </w:r>
      <w:r>
        <w:rPr>
          <w:rFonts w:ascii="Arial" w:hAnsi="Arial" w:cs="Arial"/>
          <w:b/>
          <w:bCs/>
          <w:color w:val="000000"/>
          <w:sz w:val="22"/>
          <w:szCs w:val="22"/>
        </w:rPr>
        <w:t xml:space="preserve">Mold Fabrication and </w:t>
      </w:r>
      <w:r w:rsidRPr="006C7265">
        <w:rPr>
          <w:rFonts w:ascii="Arial" w:hAnsi="Arial" w:cs="Arial"/>
          <w:b/>
          <w:bCs/>
          <w:color w:val="000000"/>
          <w:sz w:val="22"/>
          <w:szCs w:val="22"/>
        </w:rPr>
        <w:t xml:space="preserve">Characterization </w:t>
      </w:r>
    </w:p>
    <w:p w14:paraId="48BBABFE" w14:textId="77777777" w:rsidR="004B6EBE" w:rsidRPr="008B1F6B" w:rsidRDefault="004B6EBE" w:rsidP="004560B8">
      <w:pPr>
        <w:spacing w:line="276" w:lineRule="auto"/>
        <w:rPr>
          <w:rFonts w:ascii="Arial" w:hAnsi="Arial" w:cs="Arial"/>
          <w:color w:val="000000"/>
          <w:sz w:val="22"/>
          <w:szCs w:val="22"/>
        </w:rPr>
      </w:pPr>
    </w:p>
    <w:p w14:paraId="2A4D3608" w14:textId="3DD60376" w:rsidR="00675EE3" w:rsidRPr="006C7265" w:rsidRDefault="00675EE3" w:rsidP="004560B8">
      <w:pPr>
        <w:spacing w:line="276" w:lineRule="auto"/>
        <w:rPr>
          <w:rFonts w:ascii="Arial" w:hAnsi="Arial" w:cs="Arial"/>
          <w:color w:val="000000"/>
          <w:sz w:val="22"/>
          <w:szCs w:val="22"/>
        </w:rPr>
      </w:pPr>
      <w:r w:rsidRPr="006C7265">
        <w:rPr>
          <w:rFonts w:ascii="Arial" w:hAnsi="Arial" w:cs="Arial"/>
          <w:color w:val="000000"/>
          <w:sz w:val="22"/>
          <w:szCs w:val="22"/>
        </w:rPr>
        <w:t xml:space="preserve">Molds for </w:t>
      </w:r>
      <w:r>
        <w:rPr>
          <w:rFonts w:ascii="Arial" w:hAnsi="Arial" w:cs="Arial"/>
          <w:color w:val="000000"/>
          <w:sz w:val="22"/>
          <w:szCs w:val="22"/>
        </w:rPr>
        <w:t xml:space="preserve">the SHM </w:t>
      </w:r>
      <w:r w:rsidRPr="006C7265">
        <w:rPr>
          <w:rFonts w:ascii="Arial" w:hAnsi="Arial" w:cs="Arial"/>
          <w:color w:val="000000"/>
          <w:sz w:val="22"/>
          <w:szCs w:val="22"/>
        </w:rPr>
        <w:t xml:space="preserve">were printed using a </w:t>
      </w:r>
      <w:proofErr w:type="spellStart"/>
      <w:r w:rsidRPr="006C7265">
        <w:rPr>
          <w:rFonts w:ascii="Arial" w:hAnsi="Arial" w:cs="Arial"/>
          <w:color w:val="000000"/>
          <w:sz w:val="22"/>
          <w:szCs w:val="22"/>
        </w:rPr>
        <w:t>Miicraft</w:t>
      </w:r>
      <w:proofErr w:type="spellEnd"/>
      <w:r w:rsidRPr="006C7265">
        <w:rPr>
          <w:rFonts w:ascii="Arial" w:hAnsi="Arial" w:cs="Arial"/>
          <w:color w:val="000000"/>
          <w:sz w:val="22"/>
          <w:szCs w:val="22"/>
        </w:rPr>
        <w:t xml:space="preserve"> </w:t>
      </w:r>
      <w:r>
        <w:rPr>
          <w:rFonts w:ascii="Arial" w:hAnsi="Arial" w:cs="Arial"/>
          <w:color w:val="000000"/>
          <w:sz w:val="22"/>
          <w:szCs w:val="22"/>
        </w:rPr>
        <w:t xml:space="preserve">Ultra </w:t>
      </w:r>
      <w:r w:rsidRPr="006C7265">
        <w:rPr>
          <w:rFonts w:ascii="Arial" w:hAnsi="Arial" w:cs="Arial"/>
          <w:color w:val="000000"/>
          <w:sz w:val="22"/>
          <w:szCs w:val="22"/>
        </w:rPr>
        <w:t>50 3D Printe</w:t>
      </w:r>
      <w:r w:rsidRPr="004560B8">
        <w:rPr>
          <w:rFonts w:ascii="Arial" w:hAnsi="Arial" w:cs="Arial"/>
          <w:color w:val="000000"/>
          <w:sz w:val="22"/>
          <w:szCs w:val="22"/>
        </w:rPr>
        <w:t>r</w:t>
      </w:r>
      <w:r w:rsidR="009E04A4" w:rsidRPr="004560B8">
        <w:rPr>
          <w:rFonts w:ascii="Arial" w:hAnsi="Arial" w:cs="Arial"/>
          <w:color w:val="000000"/>
          <w:sz w:val="22"/>
          <w:szCs w:val="22"/>
        </w:rPr>
        <w:t xml:space="preserve">, using </w:t>
      </w:r>
      <w:proofErr w:type="spellStart"/>
      <w:r w:rsidR="009E04A4" w:rsidRPr="004560B8">
        <w:rPr>
          <w:rFonts w:ascii="Arial" w:hAnsi="Arial" w:cs="Arial"/>
          <w:color w:val="000000"/>
          <w:sz w:val="22"/>
          <w:szCs w:val="22"/>
        </w:rPr>
        <w:t>MasterMold</w:t>
      </w:r>
      <w:proofErr w:type="spellEnd"/>
      <w:r w:rsidR="009E04A4" w:rsidRPr="004560B8">
        <w:rPr>
          <w:rFonts w:ascii="Arial" w:hAnsi="Arial" w:cs="Arial"/>
          <w:color w:val="000000"/>
          <w:sz w:val="22"/>
          <w:szCs w:val="22"/>
        </w:rPr>
        <w:t xml:space="preserve"> Resin for PDMS (ResinWorks3D)</w:t>
      </w:r>
      <w:r w:rsidRPr="004560B8">
        <w:rPr>
          <w:rFonts w:ascii="Arial" w:hAnsi="Arial" w:cs="Arial"/>
          <w:color w:val="000000"/>
          <w:sz w:val="22"/>
          <w:szCs w:val="22"/>
        </w:rPr>
        <w:t xml:space="preserve">. </w:t>
      </w:r>
      <w:r>
        <w:rPr>
          <w:rFonts w:ascii="Arial" w:hAnsi="Arial" w:cs="Arial"/>
          <w:color w:val="000000"/>
          <w:sz w:val="22"/>
          <w:szCs w:val="22"/>
        </w:rPr>
        <w:t xml:space="preserve">For characterization experiments, molds were </w:t>
      </w:r>
      <w:r w:rsidRPr="006C7265">
        <w:rPr>
          <w:rFonts w:ascii="Arial" w:hAnsi="Arial" w:cs="Arial"/>
          <w:color w:val="000000"/>
          <w:sz w:val="22"/>
          <w:szCs w:val="22"/>
        </w:rPr>
        <w:t>characterized using a Keyence VHX-5000 microscope</w:t>
      </w:r>
      <w:r>
        <w:rPr>
          <w:rFonts w:ascii="Arial" w:hAnsi="Arial" w:cs="Arial"/>
          <w:color w:val="000000"/>
          <w:sz w:val="22"/>
          <w:szCs w:val="22"/>
        </w:rPr>
        <w:t xml:space="preserve"> using a VH-Z20R lens to measure the SHM and herringbone dimensions</w:t>
      </w:r>
      <w:r w:rsidRPr="006C7265">
        <w:rPr>
          <w:rFonts w:ascii="Arial" w:hAnsi="Arial" w:cs="Arial"/>
          <w:color w:val="000000"/>
          <w:sz w:val="22"/>
          <w:szCs w:val="22"/>
        </w:rPr>
        <w:t>.</w:t>
      </w:r>
      <w:r>
        <w:rPr>
          <w:rFonts w:ascii="Arial" w:hAnsi="Arial" w:cs="Arial"/>
          <w:color w:val="000000"/>
          <w:sz w:val="22"/>
          <w:szCs w:val="22"/>
        </w:rPr>
        <w:t xml:space="preserve"> The full characterization data are included in Supplementary Tables S1-S4. </w:t>
      </w:r>
    </w:p>
    <w:p w14:paraId="6F1E8AD3" w14:textId="77777777" w:rsidR="00675EE3" w:rsidRDefault="00675EE3" w:rsidP="004560B8">
      <w:pPr>
        <w:spacing w:line="276" w:lineRule="auto"/>
        <w:rPr>
          <w:rFonts w:ascii="Arial" w:hAnsi="Arial" w:cs="Arial"/>
          <w:color w:val="000000"/>
          <w:sz w:val="22"/>
          <w:szCs w:val="22"/>
        </w:rPr>
      </w:pPr>
    </w:p>
    <w:p w14:paraId="01C0AA28" w14:textId="45C6D431" w:rsidR="00675EE3" w:rsidRDefault="00675EE3" w:rsidP="004560B8">
      <w:pPr>
        <w:spacing w:line="276" w:lineRule="auto"/>
        <w:rPr>
          <w:rFonts w:ascii="Arial" w:hAnsi="Arial" w:cs="Arial"/>
          <w:color w:val="000000"/>
          <w:sz w:val="22"/>
          <w:szCs w:val="22"/>
        </w:rPr>
      </w:pPr>
      <w:r>
        <w:rPr>
          <w:rFonts w:ascii="Arial" w:hAnsi="Arial" w:cs="Arial"/>
          <w:color w:val="000000"/>
          <w:sz w:val="22"/>
          <w:szCs w:val="22"/>
        </w:rPr>
        <w:t>For device fabrication, p</w:t>
      </w:r>
      <w:r w:rsidRPr="006C7265">
        <w:rPr>
          <w:rFonts w:ascii="Arial" w:hAnsi="Arial" w:cs="Arial"/>
          <w:color w:val="000000"/>
          <w:sz w:val="22"/>
          <w:szCs w:val="22"/>
        </w:rPr>
        <w:t>rinted molds were washed in a bath of isopropyl alcohol for 10 minutes, cured under UV light for another 10 minutes and then baked for 4 hours at 130 °C. Molds were then treated via the vapor deposition of N-</w:t>
      </w:r>
      <w:proofErr w:type="spellStart"/>
      <w:r w:rsidRPr="006C7265">
        <w:rPr>
          <w:rFonts w:ascii="Arial" w:hAnsi="Arial" w:cs="Arial"/>
          <w:color w:val="000000"/>
          <w:sz w:val="22"/>
          <w:szCs w:val="22"/>
        </w:rPr>
        <w:t>decyltrichlorosilane</w:t>
      </w:r>
      <w:proofErr w:type="spellEnd"/>
      <w:r w:rsidRPr="006C7265">
        <w:rPr>
          <w:rFonts w:ascii="Arial" w:hAnsi="Arial" w:cs="Arial"/>
          <w:color w:val="000000"/>
          <w:sz w:val="22"/>
          <w:szCs w:val="22"/>
        </w:rPr>
        <w:t xml:space="preserve"> for 30 minutes to </w:t>
      </w:r>
      <w:r>
        <w:rPr>
          <w:rFonts w:ascii="Arial" w:hAnsi="Arial" w:cs="Arial"/>
          <w:color w:val="000000"/>
          <w:sz w:val="22"/>
          <w:szCs w:val="22"/>
        </w:rPr>
        <w:t xml:space="preserve">prevent attachment of PDMS to the master mold </w:t>
      </w:r>
      <w:r w:rsidR="009C745E">
        <w:rPr>
          <w:rFonts w:ascii="Arial" w:hAnsi="Arial" w:cs="Arial"/>
          <w:color w:val="000000"/>
          <w:sz w:val="22"/>
          <w:szCs w:val="22"/>
        </w:rPr>
        <w:fldChar w:fldCharType="begin"/>
      </w:r>
      <w:r w:rsidR="000D11C8">
        <w:rPr>
          <w:rFonts w:ascii="Arial" w:hAnsi="Arial" w:cs="Arial"/>
          <w:color w:val="000000"/>
          <w:sz w:val="22"/>
          <w:szCs w:val="22"/>
        </w:rPr>
        <w:instrText xml:space="preserve"> ADDIN EN.CITE &lt;EndNote&gt;&lt;Cite&gt;&lt;Author&gt;Razavi Bazaz&lt;/Author&gt;&lt;Year&gt;2019&lt;/Year&gt;&lt;RecNum&gt;58&lt;/RecNum&gt;&lt;DisplayText&gt;[1]&lt;/DisplayText&gt;&lt;record&gt;&lt;rec-number&gt;58&lt;/rec-number&gt;&lt;foreign-keys&gt;&lt;key app="EN" db-id="stfpxrae7fvzrfe2zdmpaevcpatwdarwstff" timestamp="1616002152"&gt;58&lt;/key&gt;&lt;/foreign-keys&gt;&lt;ref-type name="Journal Article"&gt;17&lt;/ref-type&gt;&lt;contributors&gt;&lt;authors&gt;&lt;author&gt;Razavi Bazaz, Sajad&lt;/author&gt;&lt;author&gt;Kashaninejad, Navid&lt;/author&gt;&lt;author&gt;Azadi, Shohreh&lt;/author&gt;&lt;author&gt;Patel, Kamal&lt;/author&gt;&lt;author&gt;Asadnia, Mohsen&lt;/author&gt;&lt;author&gt;Jin, Dayong&lt;/author&gt;&lt;author&gt;Ebrahimi Warkiani, Majid&lt;/author&gt;&lt;/authors&gt;&lt;/contributors&gt;&lt;titles&gt;&lt;title&gt;Rapid Softlithography Using 3D-Printed Molds&lt;/title&gt;&lt;secondary-title&gt;Advanced Materials Technologies&lt;/secondary-title&gt;&lt;/titles&gt;&lt;periodical&gt;&lt;full-title&gt;Advanced Materials Technologies&lt;/full-title&gt;&lt;/periodical&gt;&lt;pages&gt;1900425&lt;/pages&gt;&lt;volume&gt;4&lt;/volume&gt;&lt;number&gt;10&lt;/number&gt;&lt;dates&gt;&lt;year&gt;2019&lt;/year&gt;&lt;/dates&gt;&lt;isbn&gt;2365-709X&lt;/isbn&gt;&lt;urls&gt;&lt;related-urls&gt;&lt;url&gt;https://onlinelibrary.wiley.com/doi/abs/10.1002/admt.201900425&lt;/url&gt;&lt;/related-urls&gt;&lt;/urls&gt;&lt;electronic-resource-num&gt;https://doi.org/10.1002/admt.201900425&lt;/electronic-resource-num&gt;&lt;/record&gt;&lt;/Cite&gt;&lt;/EndNote&gt;</w:instrText>
      </w:r>
      <w:r w:rsidR="009C745E">
        <w:rPr>
          <w:rFonts w:ascii="Arial" w:hAnsi="Arial" w:cs="Arial"/>
          <w:color w:val="000000"/>
          <w:sz w:val="22"/>
          <w:szCs w:val="22"/>
        </w:rPr>
        <w:fldChar w:fldCharType="separate"/>
      </w:r>
      <w:r w:rsidR="000D11C8">
        <w:rPr>
          <w:rFonts w:ascii="Arial" w:hAnsi="Arial" w:cs="Arial"/>
          <w:noProof/>
          <w:color w:val="000000"/>
          <w:sz w:val="22"/>
          <w:szCs w:val="22"/>
        </w:rPr>
        <w:t>[1]</w:t>
      </w:r>
      <w:r w:rsidR="009C745E">
        <w:rPr>
          <w:rFonts w:ascii="Arial" w:hAnsi="Arial" w:cs="Arial"/>
          <w:color w:val="000000"/>
          <w:sz w:val="22"/>
          <w:szCs w:val="22"/>
        </w:rPr>
        <w:fldChar w:fldCharType="end"/>
      </w:r>
      <w:r w:rsidRPr="006C7265">
        <w:rPr>
          <w:rFonts w:ascii="Arial" w:hAnsi="Arial" w:cs="Arial"/>
          <w:color w:val="000000"/>
          <w:sz w:val="22"/>
          <w:szCs w:val="22"/>
        </w:rPr>
        <w:t>. Microfluidic devices were then fabricated with standard soft lithography techniques</w:t>
      </w:r>
      <w:r>
        <w:rPr>
          <w:rFonts w:ascii="Arial" w:hAnsi="Arial" w:cs="Arial"/>
          <w:color w:val="000000"/>
          <w:sz w:val="22"/>
          <w:szCs w:val="22"/>
        </w:rPr>
        <w:t xml:space="preserve"> </w:t>
      </w:r>
      <w:r w:rsidR="009C745E">
        <w:rPr>
          <w:rFonts w:ascii="Arial" w:hAnsi="Arial" w:cs="Arial"/>
          <w:color w:val="000000"/>
          <w:sz w:val="22"/>
          <w:szCs w:val="22"/>
        </w:rPr>
        <w:fldChar w:fldCharType="begin"/>
      </w:r>
      <w:r w:rsidR="000D11C8">
        <w:rPr>
          <w:rFonts w:ascii="Arial" w:hAnsi="Arial" w:cs="Arial"/>
          <w:color w:val="000000"/>
          <w:sz w:val="22"/>
          <w:szCs w:val="22"/>
        </w:rPr>
        <w:instrText xml:space="preserve"> ADDIN EN.CITE &lt;EndNote&gt;&lt;Cite&gt;&lt;Author&gt;Qin&lt;/Author&gt;&lt;Year&gt;2010&lt;/Year&gt;&lt;RecNum&gt;57&lt;/RecNum&gt;&lt;DisplayText&gt;[2]&lt;/DisplayText&gt;&lt;record&gt;&lt;rec-number&gt;57&lt;/rec-number&gt;&lt;foreign-keys&gt;&lt;key app="EN" db-id="stfpxrae7fvzrfe2zdmpaevcpatwdarwstff" timestamp="1616002094"&gt;57&lt;/key&gt;&lt;/foreign-keys&gt;&lt;ref-type name="Journal Article"&gt;17&lt;/ref-type&gt;&lt;contributors&gt;&lt;authors&gt;&lt;author&gt;Qin, Dong&lt;/author&gt;&lt;author&gt;Xia, Younan&lt;/author&gt;&lt;author&gt;Whitesides, George M.&lt;/author&gt;&lt;/authors&gt;&lt;/contributors&gt;&lt;titles&gt;&lt;title&gt;Soft lithography for micro- and nanoscale patterning&lt;/title&gt;&lt;secondary-title&gt;Nature Protocols&lt;/secondary-title&gt;&lt;/titles&gt;&lt;periodical&gt;&lt;full-title&gt;Nature Protocols&lt;/full-title&gt;&lt;/periodical&gt;&lt;pages&gt;491-502&lt;/pages&gt;&lt;volume&gt;5&lt;/volume&gt;&lt;number&gt;3&lt;/number&gt;&lt;dates&gt;&lt;year&gt;2010&lt;/year&gt;&lt;pub-dates&gt;&lt;date&gt;2010/03/01&lt;/date&gt;&lt;/pub-dates&gt;&lt;/dates&gt;&lt;isbn&gt;1750-2799&lt;/isbn&gt;&lt;urls&gt;&lt;related-urls&gt;&lt;url&gt;https://doi.org/10.1038/nprot.2009.234&lt;/url&gt;&lt;/related-urls&gt;&lt;/urls&gt;&lt;electronic-resource-num&gt;10.1038/nprot.2009.234&lt;/electronic-resource-num&gt;&lt;/record&gt;&lt;/Cite&gt;&lt;/EndNote&gt;</w:instrText>
      </w:r>
      <w:r w:rsidR="009C745E">
        <w:rPr>
          <w:rFonts w:ascii="Arial" w:hAnsi="Arial" w:cs="Arial"/>
          <w:color w:val="000000"/>
          <w:sz w:val="22"/>
          <w:szCs w:val="22"/>
        </w:rPr>
        <w:fldChar w:fldCharType="separate"/>
      </w:r>
      <w:r w:rsidR="000D11C8">
        <w:rPr>
          <w:rFonts w:ascii="Arial" w:hAnsi="Arial" w:cs="Arial"/>
          <w:noProof/>
          <w:color w:val="000000"/>
          <w:sz w:val="22"/>
          <w:szCs w:val="22"/>
        </w:rPr>
        <w:t>[2]</w:t>
      </w:r>
      <w:r w:rsidR="009C745E">
        <w:rPr>
          <w:rFonts w:ascii="Arial" w:hAnsi="Arial" w:cs="Arial"/>
          <w:color w:val="000000"/>
          <w:sz w:val="22"/>
          <w:szCs w:val="22"/>
        </w:rPr>
        <w:fldChar w:fldCharType="end"/>
      </w:r>
      <w:r w:rsidRPr="006C7265">
        <w:rPr>
          <w:rFonts w:ascii="Arial" w:hAnsi="Arial" w:cs="Arial"/>
          <w:color w:val="000000"/>
          <w:sz w:val="22"/>
          <w:szCs w:val="22"/>
        </w:rPr>
        <w:t xml:space="preserve">. </w:t>
      </w:r>
      <w:r w:rsidRPr="004560B8">
        <w:rPr>
          <w:rFonts w:ascii="Arial" w:hAnsi="Arial" w:cs="Arial"/>
          <w:color w:val="000000"/>
          <w:sz w:val="22"/>
          <w:szCs w:val="22"/>
        </w:rPr>
        <w:t>Polydimethylsiloxane (PDMS)</w:t>
      </w:r>
      <w:r w:rsidR="008B1F6B" w:rsidRPr="004560B8">
        <w:rPr>
          <w:rFonts w:ascii="Arial" w:hAnsi="Arial" w:cs="Arial"/>
          <w:color w:val="000000"/>
          <w:sz w:val="22"/>
          <w:szCs w:val="22"/>
        </w:rPr>
        <w:t>,</w:t>
      </w:r>
      <w:r w:rsidR="007779DD" w:rsidRPr="004560B8">
        <w:rPr>
          <w:rFonts w:ascii="Arial" w:hAnsi="Arial" w:cs="Arial"/>
          <w:color w:val="000000"/>
          <w:sz w:val="22"/>
          <w:szCs w:val="22"/>
        </w:rPr>
        <w:t xml:space="preserve"> </w:t>
      </w:r>
      <w:r w:rsidR="008B1F6B" w:rsidRPr="004560B8">
        <w:rPr>
          <w:rFonts w:ascii="Arial" w:hAnsi="Arial" w:cs="Arial"/>
          <w:color w:val="000000"/>
          <w:sz w:val="22"/>
          <w:szCs w:val="22"/>
        </w:rPr>
        <w:t xml:space="preserve">obtained as commercially available </w:t>
      </w:r>
      <w:proofErr w:type="spellStart"/>
      <w:r w:rsidR="008B1F6B" w:rsidRPr="004560B8">
        <w:rPr>
          <w:rFonts w:ascii="Arial" w:hAnsi="Arial" w:cs="Arial"/>
          <w:color w:val="000000"/>
          <w:sz w:val="22"/>
          <w:szCs w:val="22"/>
        </w:rPr>
        <w:t>Sylgard</w:t>
      </w:r>
      <w:proofErr w:type="spellEnd"/>
      <w:r w:rsidR="008B1F6B" w:rsidRPr="004560B8">
        <w:rPr>
          <w:rFonts w:ascii="Arial" w:hAnsi="Arial" w:cs="Arial"/>
          <w:color w:val="000000"/>
          <w:sz w:val="22"/>
          <w:szCs w:val="22"/>
        </w:rPr>
        <w:t xml:space="preserve"> 184 (Dow Chemical), was mixed at a 10:1 ratio of PDMS to cross-linker, </w:t>
      </w:r>
      <w:r w:rsidRPr="006C7265">
        <w:rPr>
          <w:rFonts w:ascii="Arial" w:hAnsi="Arial" w:cs="Arial"/>
          <w:color w:val="000000"/>
          <w:sz w:val="22"/>
          <w:szCs w:val="22"/>
        </w:rPr>
        <w:t xml:space="preserve">poured in the treated molds, degassed for approximately 2 hours, then cured at 60-80 °C for 4h, and removed from the mold. To prepare the microfluidic chambers, the PDMS layer was bonded to a standard glass slide. Both the PDMS and a glass slide were treated in an ozone cleaner for 10 minutes, and the PDMS was then manually pressure sealed onto the glass slide and post-cured at 60 °C for at least 15 minutes. </w:t>
      </w:r>
    </w:p>
    <w:p w14:paraId="574C6A6A" w14:textId="77777777" w:rsidR="00675EE3" w:rsidRPr="006C7265" w:rsidRDefault="00675EE3" w:rsidP="004560B8">
      <w:pPr>
        <w:spacing w:line="276" w:lineRule="auto"/>
        <w:rPr>
          <w:sz w:val="22"/>
          <w:szCs w:val="22"/>
        </w:rPr>
      </w:pPr>
    </w:p>
    <w:p w14:paraId="299B52F5" w14:textId="2B0BC0A9" w:rsidR="00675EE3" w:rsidRDefault="00675EE3" w:rsidP="004560B8">
      <w:pPr>
        <w:spacing w:line="276" w:lineRule="auto"/>
        <w:rPr>
          <w:rFonts w:ascii="Arial" w:hAnsi="Arial" w:cs="Arial"/>
          <w:b/>
          <w:bCs/>
          <w:color w:val="000000"/>
          <w:sz w:val="22"/>
          <w:szCs w:val="22"/>
        </w:rPr>
      </w:pPr>
      <w:r w:rsidRPr="006C7265">
        <w:rPr>
          <w:rFonts w:ascii="Arial" w:hAnsi="Arial" w:cs="Arial"/>
          <w:b/>
          <w:bCs/>
          <w:color w:val="000000"/>
          <w:sz w:val="22"/>
          <w:szCs w:val="22"/>
        </w:rPr>
        <w:t>Mixing Tests </w:t>
      </w:r>
    </w:p>
    <w:p w14:paraId="7CEAEA62" w14:textId="77777777" w:rsidR="004B6EBE" w:rsidRPr="006C7265" w:rsidRDefault="004B6EBE" w:rsidP="004560B8">
      <w:pPr>
        <w:spacing w:line="276" w:lineRule="auto"/>
        <w:rPr>
          <w:sz w:val="22"/>
          <w:szCs w:val="22"/>
        </w:rPr>
      </w:pPr>
    </w:p>
    <w:p w14:paraId="46CA4171" w14:textId="5B2EAD62" w:rsidR="00675EE3" w:rsidRDefault="00675EE3" w:rsidP="004560B8">
      <w:pPr>
        <w:spacing w:line="276" w:lineRule="auto"/>
        <w:rPr>
          <w:rFonts w:ascii="Arial" w:hAnsi="Arial" w:cs="Arial"/>
          <w:color w:val="000000"/>
          <w:sz w:val="22"/>
          <w:szCs w:val="22"/>
        </w:rPr>
      </w:pPr>
      <w:r w:rsidRPr="006C7265">
        <w:rPr>
          <w:rFonts w:ascii="Arial" w:hAnsi="Arial" w:cs="Arial"/>
          <w:color w:val="000000"/>
          <w:sz w:val="22"/>
          <w:szCs w:val="22"/>
        </w:rPr>
        <w:t xml:space="preserve">The quality of mixing was assessed by observing via quantitative fluorescence microscopy the steady-state flow and mixing of two input streams, one containing a fluorescent marker and the other containing </w:t>
      </w:r>
      <w:r>
        <w:rPr>
          <w:rFonts w:ascii="Arial" w:hAnsi="Arial" w:cs="Arial"/>
          <w:color w:val="000000"/>
          <w:sz w:val="22"/>
          <w:szCs w:val="22"/>
        </w:rPr>
        <w:t xml:space="preserve">neat </w:t>
      </w:r>
      <w:r w:rsidRPr="006C7265">
        <w:rPr>
          <w:rFonts w:ascii="Arial" w:hAnsi="Arial" w:cs="Arial"/>
          <w:color w:val="000000"/>
          <w:sz w:val="22"/>
          <w:szCs w:val="22"/>
        </w:rPr>
        <w:t xml:space="preserve">water. In detail, a fluorescent solution of 70 </w:t>
      </w:r>
      <w:proofErr w:type="spellStart"/>
      <w:r w:rsidRPr="006C7265">
        <w:rPr>
          <w:rFonts w:ascii="Arial" w:hAnsi="Arial" w:cs="Arial"/>
          <w:color w:val="000000"/>
          <w:sz w:val="22"/>
          <w:szCs w:val="22"/>
        </w:rPr>
        <w:t>kDa</w:t>
      </w:r>
      <w:proofErr w:type="spellEnd"/>
      <w:r w:rsidRPr="006C7265">
        <w:rPr>
          <w:rFonts w:ascii="Arial" w:hAnsi="Arial" w:cs="Arial"/>
          <w:color w:val="000000"/>
          <w:sz w:val="22"/>
          <w:szCs w:val="22"/>
        </w:rPr>
        <w:t xml:space="preserve"> fluorescein </w:t>
      </w:r>
      <w:proofErr w:type="spellStart"/>
      <w:r w:rsidRPr="006C7265">
        <w:rPr>
          <w:rFonts w:ascii="Arial" w:hAnsi="Arial" w:cs="Arial"/>
          <w:color w:val="000000"/>
          <w:sz w:val="22"/>
          <w:szCs w:val="22"/>
        </w:rPr>
        <w:t>isothiocyanate</w:t>
      </w:r>
      <w:proofErr w:type="spellEnd"/>
      <w:r w:rsidRPr="006C7265">
        <w:rPr>
          <w:rFonts w:ascii="Arial" w:hAnsi="Arial" w:cs="Arial"/>
          <w:color w:val="000000"/>
          <w:sz w:val="22"/>
          <w:szCs w:val="22"/>
        </w:rPr>
        <w:t xml:space="preserve"> (FITC)-dextran at a concentration </w:t>
      </w:r>
      <w:r w:rsidRPr="00B06867">
        <w:rPr>
          <w:rFonts w:ascii="Arial" w:hAnsi="Arial" w:cs="Arial"/>
          <w:color w:val="000000"/>
          <w:sz w:val="22"/>
          <w:szCs w:val="22"/>
        </w:rPr>
        <w:t>of 0.30 µM</w:t>
      </w:r>
      <w:r w:rsidRPr="006C7265">
        <w:rPr>
          <w:rFonts w:ascii="Arial" w:hAnsi="Arial" w:cs="Arial"/>
          <w:color w:val="000000"/>
          <w:sz w:val="22"/>
          <w:szCs w:val="22"/>
        </w:rPr>
        <w:t xml:space="preserve"> suspended in water was injected into In</w:t>
      </w:r>
      <w:r>
        <w:rPr>
          <w:rFonts w:ascii="Arial" w:hAnsi="Arial" w:cs="Arial"/>
          <w:color w:val="000000"/>
          <w:sz w:val="22"/>
          <w:szCs w:val="22"/>
        </w:rPr>
        <w:t>put</w:t>
      </w:r>
      <w:r w:rsidRPr="006C7265">
        <w:rPr>
          <w:rFonts w:ascii="Arial" w:hAnsi="Arial" w:cs="Arial"/>
          <w:color w:val="000000"/>
          <w:sz w:val="22"/>
          <w:szCs w:val="22"/>
        </w:rPr>
        <w:t xml:space="preserve"> 1, while water was injected into In</w:t>
      </w:r>
      <w:r>
        <w:rPr>
          <w:rFonts w:ascii="Arial" w:hAnsi="Arial" w:cs="Arial"/>
          <w:color w:val="000000"/>
          <w:sz w:val="22"/>
          <w:szCs w:val="22"/>
        </w:rPr>
        <w:t>put</w:t>
      </w:r>
      <w:r w:rsidRPr="006C7265">
        <w:rPr>
          <w:rFonts w:ascii="Arial" w:hAnsi="Arial" w:cs="Arial"/>
          <w:color w:val="000000"/>
          <w:sz w:val="22"/>
          <w:szCs w:val="22"/>
        </w:rPr>
        <w:t xml:space="preserve"> 2</w:t>
      </w:r>
      <w:r>
        <w:rPr>
          <w:rFonts w:ascii="Arial" w:hAnsi="Arial" w:cs="Arial"/>
          <w:color w:val="000000"/>
          <w:sz w:val="22"/>
          <w:szCs w:val="22"/>
        </w:rPr>
        <w:t xml:space="preserve"> (Figure 1)</w:t>
      </w:r>
      <w:r w:rsidRPr="006C7265">
        <w:rPr>
          <w:rFonts w:ascii="Arial" w:hAnsi="Arial" w:cs="Arial"/>
          <w:color w:val="000000"/>
          <w:sz w:val="22"/>
          <w:szCs w:val="22"/>
        </w:rPr>
        <w:t xml:space="preserve">.  A 2-channel syringe pump </w:t>
      </w:r>
      <w:r>
        <w:rPr>
          <w:rFonts w:ascii="Arial" w:hAnsi="Arial" w:cs="Arial"/>
          <w:color w:val="000000"/>
          <w:sz w:val="22"/>
          <w:szCs w:val="22"/>
        </w:rPr>
        <w:t xml:space="preserve">(NE-4002X, New Era) </w:t>
      </w:r>
      <w:r w:rsidRPr="006C7265">
        <w:rPr>
          <w:rFonts w:ascii="Arial" w:hAnsi="Arial" w:cs="Arial"/>
          <w:color w:val="000000"/>
          <w:sz w:val="22"/>
          <w:szCs w:val="22"/>
        </w:rPr>
        <w:t>was used to ensure equal flow rates, which were varied from 0.5 µL min</w:t>
      </w:r>
      <w:r w:rsidRPr="006C7265">
        <w:rPr>
          <w:rFonts w:ascii="Arial" w:hAnsi="Arial" w:cs="Arial"/>
          <w:color w:val="000000"/>
          <w:sz w:val="22"/>
          <w:szCs w:val="22"/>
          <w:vertAlign w:val="superscript"/>
        </w:rPr>
        <w:t>-1</w:t>
      </w:r>
      <w:r w:rsidRPr="006C7265">
        <w:rPr>
          <w:rFonts w:ascii="Arial" w:hAnsi="Arial" w:cs="Arial"/>
          <w:color w:val="000000"/>
          <w:sz w:val="22"/>
          <w:szCs w:val="22"/>
        </w:rPr>
        <w:t xml:space="preserve"> to 20 µL min</w:t>
      </w:r>
      <w:r w:rsidRPr="006C7265">
        <w:rPr>
          <w:rFonts w:ascii="Arial" w:hAnsi="Arial" w:cs="Arial"/>
          <w:color w:val="000000"/>
          <w:sz w:val="22"/>
          <w:szCs w:val="22"/>
          <w:vertAlign w:val="superscript"/>
        </w:rPr>
        <w:t>-1</w:t>
      </w:r>
      <w:r w:rsidRPr="006C7265">
        <w:rPr>
          <w:rFonts w:ascii="Arial" w:hAnsi="Arial" w:cs="Arial"/>
          <w:color w:val="000000"/>
          <w:sz w:val="22"/>
          <w:szCs w:val="22"/>
        </w:rPr>
        <w:t xml:space="preserve"> (Reynold’s Number </w:t>
      </w:r>
      <w:r w:rsidRPr="006C7265">
        <w:rPr>
          <w:rFonts w:ascii="Arial" w:hAnsi="Arial" w:cs="Arial"/>
          <w:i/>
          <w:color w:val="000000"/>
          <w:sz w:val="22"/>
          <w:szCs w:val="22"/>
        </w:rPr>
        <w:t>Re</w:t>
      </w:r>
      <w:r w:rsidRPr="006C7265">
        <w:rPr>
          <w:rFonts w:ascii="Arial" w:hAnsi="Arial" w:cs="Arial"/>
          <w:color w:val="000000"/>
          <w:sz w:val="22"/>
          <w:szCs w:val="22"/>
        </w:rPr>
        <w:t>: 0.0</w:t>
      </w:r>
      <w:r>
        <w:rPr>
          <w:rFonts w:ascii="Arial" w:hAnsi="Arial" w:cs="Arial"/>
          <w:color w:val="000000"/>
          <w:sz w:val="22"/>
          <w:szCs w:val="22"/>
        </w:rPr>
        <w:t>1</w:t>
      </w:r>
      <w:r w:rsidRPr="006C7265">
        <w:rPr>
          <w:rFonts w:ascii="Arial" w:hAnsi="Arial" w:cs="Arial"/>
          <w:color w:val="000000"/>
          <w:sz w:val="22"/>
          <w:szCs w:val="22"/>
        </w:rPr>
        <w:t>-0.</w:t>
      </w:r>
      <w:r>
        <w:rPr>
          <w:rFonts w:ascii="Arial" w:hAnsi="Arial" w:cs="Arial"/>
          <w:color w:val="000000"/>
          <w:sz w:val="22"/>
          <w:szCs w:val="22"/>
        </w:rPr>
        <w:t>4</w:t>
      </w:r>
      <w:r w:rsidRPr="006C7265">
        <w:rPr>
          <w:rFonts w:ascii="Arial" w:hAnsi="Arial" w:cs="Arial"/>
          <w:color w:val="000000"/>
          <w:sz w:val="22"/>
          <w:szCs w:val="22"/>
        </w:rPr>
        <w:t xml:space="preserve">, </w:t>
      </w:r>
      <w:proofErr w:type="spellStart"/>
      <w:r w:rsidRPr="006C7265">
        <w:rPr>
          <w:rFonts w:ascii="Arial" w:hAnsi="Arial" w:cs="Arial"/>
          <w:color w:val="000000"/>
          <w:sz w:val="22"/>
          <w:szCs w:val="22"/>
        </w:rPr>
        <w:t>Peclet</w:t>
      </w:r>
      <w:proofErr w:type="spellEnd"/>
      <w:r w:rsidRPr="006C7265">
        <w:rPr>
          <w:rFonts w:ascii="Arial" w:hAnsi="Arial" w:cs="Arial"/>
          <w:color w:val="000000"/>
          <w:sz w:val="22"/>
          <w:szCs w:val="22"/>
        </w:rPr>
        <w:t xml:space="preserve"> Number </w:t>
      </w:r>
      <w:proofErr w:type="spellStart"/>
      <w:r w:rsidRPr="006C7265">
        <w:rPr>
          <w:rFonts w:ascii="Arial" w:hAnsi="Arial" w:cs="Arial"/>
          <w:i/>
          <w:color w:val="000000"/>
          <w:sz w:val="22"/>
          <w:szCs w:val="22"/>
        </w:rPr>
        <w:t>Pe</w:t>
      </w:r>
      <w:proofErr w:type="spellEnd"/>
      <w:r w:rsidRPr="006C7265">
        <w:rPr>
          <w:rFonts w:ascii="Arial" w:hAnsi="Arial" w:cs="Arial"/>
          <w:color w:val="000000"/>
          <w:sz w:val="22"/>
          <w:szCs w:val="22"/>
        </w:rPr>
        <w:t xml:space="preserve">: </w:t>
      </w:r>
      <w:r>
        <w:rPr>
          <w:rFonts w:ascii="Arial" w:hAnsi="Arial" w:cs="Arial"/>
          <w:color w:val="000000"/>
          <w:sz w:val="22"/>
          <w:szCs w:val="22"/>
        </w:rPr>
        <w:t>2</w:t>
      </w:r>
      <w:r w:rsidRPr="006C7265">
        <w:rPr>
          <w:rFonts w:ascii="Arial" w:hAnsi="Arial" w:cs="Arial"/>
          <w:color w:val="000000"/>
          <w:sz w:val="22"/>
          <w:szCs w:val="22"/>
        </w:rPr>
        <w:t>00-</w:t>
      </w:r>
      <w:r>
        <w:rPr>
          <w:rFonts w:ascii="Arial" w:hAnsi="Arial" w:cs="Arial"/>
          <w:color w:val="000000"/>
          <w:sz w:val="22"/>
          <w:szCs w:val="22"/>
        </w:rPr>
        <w:t>8</w:t>
      </w:r>
      <w:r w:rsidRPr="006C7265">
        <w:rPr>
          <w:rFonts w:ascii="Arial" w:hAnsi="Arial" w:cs="Arial"/>
          <w:color w:val="000000"/>
          <w:sz w:val="22"/>
          <w:szCs w:val="22"/>
        </w:rPr>
        <w:t xml:space="preserve">000). The solutions within the channels of the microfluidic devices were imaged with an Olympus IX53 inverted microscope using a </w:t>
      </w:r>
      <w:proofErr w:type="spellStart"/>
      <w:r>
        <w:rPr>
          <w:rFonts w:ascii="Arial" w:hAnsi="Arial" w:cs="Arial"/>
          <w:color w:val="000000"/>
          <w:sz w:val="22"/>
          <w:szCs w:val="22"/>
        </w:rPr>
        <w:t>UPlanFL</w:t>
      </w:r>
      <w:proofErr w:type="spellEnd"/>
      <w:r>
        <w:rPr>
          <w:rFonts w:ascii="Arial" w:hAnsi="Arial" w:cs="Arial"/>
          <w:color w:val="000000"/>
          <w:sz w:val="22"/>
          <w:szCs w:val="22"/>
        </w:rPr>
        <w:t xml:space="preserve"> N lens with a </w:t>
      </w:r>
      <w:r w:rsidRPr="006C7265">
        <w:rPr>
          <w:rFonts w:ascii="Arial" w:hAnsi="Arial" w:cs="Arial"/>
          <w:color w:val="000000"/>
          <w:sz w:val="22"/>
          <w:szCs w:val="22"/>
        </w:rPr>
        <w:t xml:space="preserve">10x objective, and images were recorded using a </w:t>
      </w:r>
      <w:proofErr w:type="spellStart"/>
      <w:r w:rsidRPr="006C7265">
        <w:rPr>
          <w:rFonts w:ascii="Arial" w:hAnsi="Arial" w:cs="Arial"/>
          <w:color w:val="000000"/>
          <w:sz w:val="22"/>
          <w:szCs w:val="22"/>
        </w:rPr>
        <w:t>Flir</w:t>
      </w:r>
      <w:proofErr w:type="spellEnd"/>
      <w:r w:rsidRPr="006C7265">
        <w:rPr>
          <w:rFonts w:ascii="Arial" w:hAnsi="Arial" w:cs="Arial"/>
          <w:color w:val="000000"/>
          <w:sz w:val="22"/>
          <w:szCs w:val="22"/>
        </w:rPr>
        <w:t xml:space="preserve"> CMLN-13S2M-CS camera</w:t>
      </w:r>
      <w:r>
        <w:rPr>
          <w:rFonts w:ascii="Arial" w:hAnsi="Arial" w:cs="Arial"/>
          <w:color w:val="000000"/>
          <w:sz w:val="22"/>
          <w:szCs w:val="22"/>
        </w:rPr>
        <w:t>, at a magnification of 0.367 µm per pixel</w:t>
      </w:r>
      <w:r w:rsidRPr="006C7265">
        <w:rPr>
          <w:rFonts w:ascii="Arial" w:hAnsi="Arial" w:cs="Arial"/>
          <w:color w:val="000000"/>
          <w:sz w:val="22"/>
          <w:szCs w:val="22"/>
        </w:rPr>
        <w:t>. Videos</w:t>
      </w:r>
      <w:r>
        <w:rPr>
          <w:rFonts w:ascii="Arial" w:hAnsi="Arial" w:cs="Arial"/>
          <w:color w:val="000000"/>
          <w:sz w:val="22"/>
          <w:szCs w:val="22"/>
        </w:rPr>
        <w:t xml:space="preserve"> of 10 frames each</w:t>
      </w:r>
      <w:r w:rsidRPr="006C7265">
        <w:rPr>
          <w:rFonts w:ascii="Arial" w:hAnsi="Arial" w:cs="Arial"/>
          <w:color w:val="000000"/>
          <w:sz w:val="22"/>
          <w:szCs w:val="22"/>
        </w:rPr>
        <w:t xml:space="preserve"> were recorded</w:t>
      </w:r>
      <w:r>
        <w:rPr>
          <w:rFonts w:ascii="Arial" w:hAnsi="Arial" w:cs="Arial"/>
          <w:color w:val="000000"/>
          <w:sz w:val="22"/>
          <w:szCs w:val="22"/>
        </w:rPr>
        <w:t xml:space="preserve"> at 15 frames per second</w:t>
      </w:r>
      <w:r w:rsidRPr="006C7265">
        <w:rPr>
          <w:rFonts w:ascii="Arial" w:hAnsi="Arial" w:cs="Arial"/>
          <w:color w:val="000000"/>
          <w:sz w:val="22"/>
          <w:szCs w:val="22"/>
        </w:rPr>
        <w:t xml:space="preserve"> after the interface between the two streams had stabilized, indicating that steady-state flow had been reached.  This typically occurred after ~5-6 control volumes of 0.01 mL in each stream had passed through the device, with waiting times between 2 and 30 minutes. </w:t>
      </w:r>
    </w:p>
    <w:p w14:paraId="28BE6524" w14:textId="2B3AD612" w:rsidR="004B6EBE" w:rsidRDefault="004B6EBE" w:rsidP="004560B8">
      <w:pPr>
        <w:spacing w:line="276" w:lineRule="auto"/>
        <w:rPr>
          <w:rFonts w:ascii="Arial" w:hAnsi="Arial" w:cs="Arial"/>
          <w:color w:val="000000"/>
          <w:sz w:val="22"/>
          <w:szCs w:val="22"/>
        </w:rPr>
      </w:pPr>
    </w:p>
    <w:p w14:paraId="1674BB9F" w14:textId="5C4EE395" w:rsidR="004B6EBE" w:rsidRPr="004B6EBE" w:rsidRDefault="004B6EBE" w:rsidP="004560B8">
      <w:pPr>
        <w:spacing w:line="276" w:lineRule="auto"/>
        <w:rPr>
          <w:rFonts w:ascii="Arial" w:hAnsi="Arial" w:cs="Arial"/>
          <w:color w:val="000000"/>
          <w:sz w:val="22"/>
          <w:szCs w:val="22"/>
        </w:rPr>
      </w:pPr>
      <w:r>
        <w:rPr>
          <w:rFonts w:ascii="Arial" w:hAnsi="Arial" w:cs="Arial"/>
          <w:color w:val="000000"/>
          <w:sz w:val="22"/>
          <w:szCs w:val="22"/>
        </w:rPr>
        <w:t>We note that the presence of the 90</w:t>
      </w:r>
      <w:r>
        <w:rPr>
          <w:rFonts w:ascii="Arial" w:hAnsi="Arial" w:cs="Arial"/>
          <w:color w:val="000000"/>
          <w:sz w:val="22"/>
          <w:szCs w:val="22"/>
        </w:rPr>
        <w:sym w:font="Symbol" w:char="F0B0"/>
      </w:r>
      <w:r w:rsidRPr="004B6EBE">
        <w:rPr>
          <w:rFonts w:ascii="Arial" w:hAnsi="Arial" w:cs="Arial"/>
          <w:color w:val="000000"/>
          <w:sz w:val="22"/>
          <w:szCs w:val="22"/>
        </w:rPr>
        <w:t xml:space="preserve"> bends </w:t>
      </w:r>
      <w:r>
        <w:rPr>
          <w:rFonts w:ascii="Arial" w:hAnsi="Arial" w:cs="Arial"/>
          <w:color w:val="000000"/>
          <w:sz w:val="22"/>
          <w:szCs w:val="22"/>
        </w:rPr>
        <w:t xml:space="preserve">in the design </w:t>
      </w:r>
      <w:r w:rsidRPr="004B6EBE">
        <w:rPr>
          <w:rFonts w:ascii="Arial" w:hAnsi="Arial" w:cs="Arial"/>
          <w:color w:val="000000"/>
          <w:sz w:val="22"/>
          <w:szCs w:val="22"/>
        </w:rPr>
        <w:t xml:space="preserve">can also promote mixing. In order to assess the relative importance of the bends and SHM elements in our work, we calculate the mixing quality factor, α, proposed by </w:t>
      </w:r>
      <w:r w:rsidR="009C745E">
        <w:rPr>
          <w:rFonts w:ascii="Arial" w:hAnsi="Arial" w:cs="Arial"/>
          <w:color w:val="000000"/>
          <w:sz w:val="22"/>
          <w:szCs w:val="22"/>
        </w:rPr>
        <w:fldChar w:fldCharType="begin"/>
      </w:r>
      <w:r w:rsidR="000D11C8">
        <w:rPr>
          <w:rFonts w:ascii="Arial" w:hAnsi="Arial" w:cs="Arial"/>
          <w:color w:val="000000"/>
          <w:sz w:val="22"/>
          <w:szCs w:val="22"/>
        </w:rPr>
        <w:instrText xml:space="preserve"> ADDIN EN.CITE &lt;EndNote&gt;&lt;Cite&gt;&lt;Author&gt;Kockmann&lt;/Author&gt;&lt;Year&gt;2005&lt;/Year&gt;&lt;RecNum&gt;56&lt;/RecNum&gt;&lt;DisplayText&gt;[3]&lt;/DisplayText&gt;&lt;record&gt;&lt;rec-number&gt;56&lt;/rec-number&gt;&lt;foreign-keys&gt;&lt;key app="EN" db-id="stfpxrae7fvzrfe2zdmpaevcpatwdarwstff" timestamp="1616002056"&gt;56&lt;/key&gt;&lt;/foreign-keys&gt;&lt;ref-type name="Journal Article"&gt;17&lt;/ref-type&gt;&lt;contributors&gt;&lt;authors&gt;&lt;author&gt;Kockmann, Norbert&lt;/author&gt;&lt;author&gt;Engler, Michael&lt;/author&gt;&lt;author&gt;Haller, Daniel&lt;/author&gt;&lt;author&gt;Woias, Peter&lt;/author&gt;&lt;/authors&gt;&lt;/contributors&gt;&lt;titles&gt;&lt;title&gt;Fluid Dynamics and Transfer Processes in Bended Microchannels&lt;/title&gt;&lt;secondary-title&gt;Heat Transfer Engineering&lt;/secondary-title&gt;&lt;/titles&gt;&lt;periodical&gt;&lt;full-title&gt;Heat Transfer Engineering&lt;/full-title&gt;&lt;/periodical&gt;&lt;pages&gt;71-78&lt;/pages&gt;&lt;volume&gt;26&lt;/volume&gt;&lt;number&gt;3&lt;/number&gt;&lt;dates&gt;&lt;year&gt;2005&lt;/year&gt;&lt;pub-dates&gt;&lt;date&gt;2005/02/16&lt;/date&gt;&lt;/pub-dates&gt;&lt;/dates&gt;&lt;publisher&gt;Taylor &amp;amp; Francis&lt;/publisher&gt;&lt;isbn&gt;0145-7632&lt;/isbn&gt;&lt;urls&gt;&lt;related-urls&gt;&lt;url&gt;https://doi.org/10.1080/01457630590907310&lt;/url&gt;&lt;/related-urls&gt;&lt;/urls&gt;&lt;electronic-resource-num&gt;10.1080/01457630590907310&lt;/electronic-resource-num&gt;&lt;/record&gt;&lt;/Cite&gt;&lt;/EndNote&gt;</w:instrText>
      </w:r>
      <w:r w:rsidR="009C745E">
        <w:rPr>
          <w:rFonts w:ascii="Arial" w:hAnsi="Arial" w:cs="Arial"/>
          <w:color w:val="000000"/>
          <w:sz w:val="22"/>
          <w:szCs w:val="22"/>
        </w:rPr>
        <w:fldChar w:fldCharType="separate"/>
      </w:r>
      <w:r w:rsidR="000D11C8">
        <w:rPr>
          <w:rFonts w:ascii="Arial" w:hAnsi="Arial" w:cs="Arial"/>
          <w:noProof/>
          <w:color w:val="000000"/>
          <w:sz w:val="22"/>
          <w:szCs w:val="22"/>
        </w:rPr>
        <w:t>[3]</w:t>
      </w:r>
      <w:r w:rsidR="009C745E">
        <w:rPr>
          <w:rFonts w:ascii="Arial" w:hAnsi="Arial" w:cs="Arial"/>
          <w:color w:val="000000"/>
          <w:sz w:val="22"/>
          <w:szCs w:val="22"/>
        </w:rPr>
        <w:fldChar w:fldCharType="end"/>
      </w:r>
      <w:r>
        <w:rPr>
          <w:rFonts w:ascii="Arial" w:hAnsi="Arial" w:cs="Arial"/>
          <w:color w:val="000000"/>
          <w:sz w:val="22"/>
          <w:szCs w:val="22"/>
        </w:rPr>
        <w:t xml:space="preserve"> </w:t>
      </w:r>
      <w:r w:rsidRPr="004B6EBE">
        <w:rPr>
          <w:rFonts w:ascii="Arial" w:hAnsi="Arial" w:cs="Arial"/>
          <w:color w:val="000000"/>
          <w:sz w:val="22"/>
          <w:szCs w:val="22"/>
        </w:rPr>
        <w:t xml:space="preserve">and defined as: </w:t>
      </w:r>
    </w:p>
    <w:p w14:paraId="5A7D3934" w14:textId="77777777" w:rsidR="004B6EBE" w:rsidRDefault="004B6EBE" w:rsidP="004560B8">
      <w:pPr>
        <w:jc w:val="center"/>
      </w:pPr>
      <m:oMathPara>
        <m:oMath>
          <m:r>
            <w:rPr>
              <w:rFonts w:ascii="Cambria Math" w:hAnsi="Cambria Math"/>
            </w:rPr>
            <m:t>α=1-</m:t>
          </m:r>
          <m:rad>
            <m:radPr>
              <m:degHide m:val="1"/>
              <m:ctrlPr>
                <w:rPr>
                  <w:rFonts w:ascii="Cambria Math" w:hAnsi="Cambria Math"/>
                </w:rPr>
              </m:ctrlPr>
            </m:radPr>
            <m:deg/>
            <m:e>
              <m:f>
                <m:fPr>
                  <m:ctrlPr>
                    <w:rPr>
                      <w:rFonts w:ascii="Cambria Math" w:hAnsi="Cambria Math"/>
                    </w:rPr>
                  </m:ctrlPr>
                </m:fPr>
                <m:num>
                  <m:sSup>
                    <m:sSupPr>
                      <m:ctrlPr>
                        <w:rPr>
                          <w:rFonts w:ascii="Cambria Math" w:hAnsi="Cambria Math"/>
                        </w:rPr>
                      </m:ctrlPr>
                    </m:sSupPr>
                    <m:e>
                      <m:sSup>
                        <m:sSupPr>
                          <m:ctrlPr>
                            <w:rPr>
                              <w:rFonts w:ascii="Cambria Math" w:hAnsi="Cambria Math"/>
                            </w:rPr>
                          </m:ctrlPr>
                        </m:sSupPr>
                        <m:e>
                          <m:r>
                            <w:rPr>
                              <w:rFonts w:ascii="Cambria Math" w:hAnsi="Cambria Math"/>
                            </w:rPr>
                            <m:t>σ</m:t>
                          </m:r>
                        </m:e>
                        <m:sup>
                          <m:r>
                            <w:rPr>
                              <w:rFonts w:ascii="Cambria Math" w:hAnsi="Cambria Math"/>
                            </w:rPr>
                            <m:t>2</m:t>
                          </m:r>
                        </m:sup>
                      </m:sSup>
                    </m:e>
                    <m:sup>
                      <m:r>
                        <w:rPr>
                          <w:rFonts w:ascii="Cambria Math" w:hAnsi="Cambria Math"/>
                        </w:rPr>
                        <m:t xml:space="preserve"> </m:t>
                      </m:r>
                    </m:sup>
                  </m:sSup>
                </m:num>
                <m:den>
                  <m:sSubSup>
                    <m:sSubSupPr>
                      <m:ctrlPr>
                        <w:rPr>
                          <w:rFonts w:ascii="Cambria Math" w:hAnsi="Cambria Math"/>
                        </w:rPr>
                      </m:ctrlPr>
                    </m:sSubSupPr>
                    <m:e>
                      <m:r>
                        <w:rPr>
                          <w:rFonts w:ascii="Cambria Math" w:hAnsi="Cambria Math"/>
                        </w:rPr>
                        <m:t>σ</m:t>
                      </m:r>
                    </m:e>
                    <m:sub>
                      <m:r>
                        <w:rPr>
                          <w:rFonts w:ascii="Cambria Math" w:hAnsi="Cambria Math"/>
                        </w:rPr>
                        <m:t>max</m:t>
                      </m:r>
                    </m:sub>
                    <m:sup>
                      <m:r>
                        <w:rPr>
                          <w:rFonts w:ascii="Cambria Math" w:hAnsi="Cambria Math"/>
                        </w:rPr>
                        <m:t>2</m:t>
                      </m:r>
                    </m:sup>
                  </m:sSubSup>
                </m:den>
              </m:f>
            </m:e>
          </m:rad>
        </m:oMath>
      </m:oMathPara>
    </w:p>
    <w:p w14:paraId="0B3328AA" w14:textId="0DD3BD44" w:rsidR="004B6EBE" w:rsidRPr="006C7265" w:rsidRDefault="004B6EBE" w:rsidP="004560B8">
      <w:pPr>
        <w:spacing w:line="276" w:lineRule="auto"/>
        <w:rPr>
          <w:rFonts w:ascii="Arial" w:hAnsi="Arial" w:cs="Arial"/>
          <w:color w:val="000000"/>
          <w:sz w:val="22"/>
          <w:szCs w:val="22"/>
        </w:rPr>
      </w:pPr>
      <w:r w:rsidRPr="004B6EBE">
        <w:rPr>
          <w:rFonts w:ascii="Arial" w:hAnsi="Arial" w:cs="Arial"/>
          <w:color w:val="000000"/>
          <w:sz w:val="22"/>
          <w:szCs w:val="22"/>
        </w:rPr>
        <w:lastRenderedPageBreak/>
        <w:t xml:space="preserve">where </w:t>
      </w:r>
      <m:oMath>
        <m:sSup>
          <m:sSupPr>
            <m:ctrlPr>
              <w:rPr>
                <w:rFonts w:ascii="Cambria Math" w:hAnsi="Cambria Math"/>
              </w:rPr>
            </m:ctrlPr>
          </m:sSupPr>
          <m:e>
            <m:sSup>
              <m:sSupPr>
                <m:ctrlPr>
                  <w:rPr>
                    <w:rFonts w:ascii="Cambria Math" w:hAnsi="Cambria Math"/>
                  </w:rPr>
                </m:ctrlPr>
              </m:sSupPr>
              <m:e>
                <m:r>
                  <w:rPr>
                    <w:rFonts w:ascii="Cambria Math" w:hAnsi="Cambria Math"/>
                  </w:rPr>
                  <m:t>σ</m:t>
                </m:r>
              </m:e>
              <m:sup>
                <m:r>
                  <w:rPr>
                    <w:rFonts w:ascii="Cambria Math" w:hAnsi="Cambria Math"/>
                  </w:rPr>
                  <m:t>2</m:t>
                </m:r>
              </m:sup>
            </m:sSup>
          </m:e>
          <m:sup>
            <m:r>
              <w:rPr>
                <w:rFonts w:ascii="Cambria Math" w:hAnsi="Cambria Math"/>
              </w:rPr>
              <m:t xml:space="preserve"> </m:t>
            </m:r>
          </m:sup>
        </m:sSup>
      </m:oMath>
      <w:r w:rsidRPr="004B6EBE">
        <w:rPr>
          <w:rFonts w:ascii="Arial" w:hAnsi="Arial" w:cs="Arial"/>
          <w:color w:val="000000"/>
          <w:sz w:val="22"/>
          <w:szCs w:val="22"/>
        </w:rPr>
        <w:t xml:space="preserve"> is the variance of the concentration within a cr</w:t>
      </w:r>
      <w:r>
        <w:rPr>
          <w:rFonts w:ascii="Arial" w:hAnsi="Arial" w:cs="Arial"/>
          <w:color w:val="000000"/>
          <w:sz w:val="22"/>
          <w:szCs w:val="22"/>
        </w:rPr>
        <w:t>oss section of the channel, and</w:t>
      </w:r>
      <w:r>
        <w:t xml:space="preserve"> </w:t>
      </w:r>
      <m:oMath>
        <m:sSubSup>
          <m:sSubSupPr>
            <m:ctrlPr>
              <w:rPr>
                <w:rFonts w:ascii="Cambria Math" w:hAnsi="Cambria Math"/>
              </w:rPr>
            </m:ctrlPr>
          </m:sSubSupPr>
          <m:e>
            <m:r>
              <w:rPr>
                <w:rFonts w:ascii="Cambria Math" w:hAnsi="Cambria Math"/>
              </w:rPr>
              <m:t>σ</m:t>
            </m:r>
          </m:e>
          <m:sub>
            <m:r>
              <w:rPr>
                <w:rFonts w:ascii="Cambria Math" w:hAnsi="Cambria Math"/>
              </w:rPr>
              <m:t>max</m:t>
            </m:r>
          </m:sub>
          <m:sup>
            <m:r>
              <w:rPr>
                <w:rFonts w:ascii="Cambria Math" w:hAnsi="Cambria Math"/>
              </w:rPr>
              <m:t>2</m:t>
            </m:r>
          </m:sup>
        </m:sSubSup>
      </m:oMath>
      <w:r w:rsidRPr="004B6EBE">
        <w:rPr>
          <w:rFonts w:ascii="Arial" w:hAnsi="Arial" w:cs="Arial"/>
          <w:color w:val="000000"/>
          <w:sz w:val="22"/>
          <w:szCs w:val="22"/>
        </w:rPr>
        <w:t xml:space="preserve"> is variance within a cross section of the channel before any mixing has occurred (i.e., at the interface where the two streams are introduced). Thus </w:t>
      </w:r>
      <w:r w:rsidRPr="00722F18">
        <w:rPr>
          <w:rFonts w:ascii="Cambria Math" w:hAnsi="Cambria Math" w:cs="Arial"/>
          <w:i/>
          <w:color w:val="000000"/>
          <w:sz w:val="22"/>
          <w:szCs w:val="22"/>
        </w:rPr>
        <w:t>α</w:t>
      </w:r>
      <w:r w:rsidRPr="004B6EBE">
        <w:rPr>
          <w:rFonts w:ascii="Arial" w:hAnsi="Arial" w:cs="Arial"/>
          <w:color w:val="000000"/>
          <w:sz w:val="22"/>
          <w:szCs w:val="22"/>
        </w:rPr>
        <w:t xml:space="preserve"> varies from 0 to 1, with a value of 1 representing perfect mixing. </w:t>
      </w:r>
      <w:r>
        <w:rPr>
          <w:rFonts w:ascii="Arial" w:hAnsi="Arial" w:cs="Arial"/>
          <w:color w:val="000000"/>
          <w:sz w:val="22"/>
          <w:szCs w:val="22"/>
        </w:rPr>
        <w:t>For</w:t>
      </w:r>
      <w:r w:rsidRPr="004B6EBE">
        <w:rPr>
          <w:rFonts w:ascii="Arial" w:hAnsi="Arial" w:cs="Arial"/>
          <w:color w:val="000000"/>
          <w:sz w:val="22"/>
          <w:szCs w:val="22"/>
        </w:rPr>
        <w:t xml:space="preserve"> </w:t>
      </w:r>
      <w:r w:rsidRPr="00722F18">
        <w:rPr>
          <w:rFonts w:ascii="Arial" w:hAnsi="Arial" w:cs="Arial"/>
          <w:i/>
          <w:color w:val="000000"/>
          <w:sz w:val="22"/>
          <w:szCs w:val="22"/>
        </w:rPr>
        <w:t>Re</w:t>
      </w:r>
      <w:r w:rsidRPr="004B6EBE">
        <w:rPr>
          <w:rFonts w:ascii="Arial" w:hAnsi="Arial" w:cs="Arial"/>
          <w:color w:val="000000"/>
          <w:sz w:val="22"/>
          <w:szCs w:val="22"/>
        </w:rPr>
        <w:t xml:space="preserve"> = 0.4 and a channel cross sectional area of 500 µm x 500 µm, the </w:t>
      </w:r>
      <w:r w:rsidR="006E4134" w:rsidRPr="008145F2">
        <w:rPr>
          <w:rFonts w:ascii="Cambria Math" w:hAnsi="Cambria Math" w:cs="Arial"/>
          <w:i/>
          <w:color w:val="000000"/>
          <w:sz w:val="22"/>
          <w:szCs w:val="22"/>
        </w:rPr>
        <w:t>α</w:t>
      </w:r>
      <w:r w:rsidRPr="004B6EBE">
        <w:rPr>
          <w:rFonts w:ascii="Arial" w:hAnsi="Arial" w:cs="Arial"/>
          <w:color w:val="000000"/>
          <w:sz w:val="22"/>
          <w:szCs w:val="22"/>
        </w:rPr>
        <w:t xml:space="preserve"> obtained after a single 90° bend in the channel was approximately 0.13</w:t>
      </w:r>
      <w:r w:rsidR="009C745E">
        <w:rPr>
          <w:rFonts w:ascii="Arial" w:hAnsi="Arial" w:cs="Arial"/>
          <w:color w:val="000000"/>
          <w:sz w:val="22"/>
          <w:szCs w:val="22"/>
        </w:rPr>
        <w:t xml:space="preserve"> </w:t>
      </w:r>
      <w:r w:rsidR="009C745E">
        <w:rPr>
          <w:rFonts w:ascii="Arial" w:hAnsi="Arial" w:cs="Arial"/>
          <w:color w:val="000000"/>
          <w:sz w:val="22"/>
          <w:szCs w:val="22"/>
        </w:rPr>
        <w:fldChar w:fldCharType="begin"/>
      </w:r>
      <w:r w:rsidR="000D11C8">
        <w:rPr>
          <w:rFonts w:ascii="Arial" w:hAnsi="Arial" w:cs="Arial"/>
          <w:color w:val="000000"/>
          <w:sz w:val="22"/>
          <w:szCs w:val="22"/>
        </w:rPr>
        <w:instrText xml:space="preserve"> ADDIN EN.CITE &lt;EndNote&gt;&lt;Cite&gt;&lt;Author&gt;Kockmann&lt;/Author&gt;&lt;Year&gt;2005&lt;/Year&gt;&lt;RecNum&gt;56&lt;/RecNum&gt;&lt;DisplayText&gt;[3]&lt;/DisplayText&gt;&lt;record&gt;&lt;rec-number&gt;56&lt;/rec-number&gt;&lt;foreign-keys&gt;&lt;key app="EN" db-id="stfpxrae7fvzrfe2zdmpaevcpatwdarwstff" timestamp="1616002056"&gt;56&lt;/key&gt;&lt;/foreign-keys&gt;&lt;ref-type name="Journal Article"&gt;17&lt;/ref-type&gt;&lt;contributors&gt;&lt;authors&gt;&lt;author&gt;Kockmann, Norbert&lt;/author&gt;&lt;author&gt;Engler, Michael&lt;/author&gt;&lt;author&gt;Haller, Daniel&lt;/author&gt;&lt;author&gt;Woias, Peter&lt;/author&gt;&lt;/authors&gt;&lt;/contributors&gt;&lt;titles&gt;&lt;title&gt;Fluid Dynamics and Transfer Processes in Bended Microchannels&lt;/title&gt;&lt;secondary-title&gt;Heat Transfer Engineering&lt;/secondary-title&gt;&lt;/titles&gt;&lt;periodical&gt;&lt;full-title&gt;Heat Transfer Engineering&lt;/full-title&gt;&lt;/periodical&gt;&lt;pages&gt;71-78&lt;/pages&gt;&lt;volume&gt;26&lt;/volume&gt;&lt;number&gt;3&lt;/number&gt;&lt;dates&gt;&lt;year&gt;2005&lt;/year&gt;&lt;pub-dates&gt;&lt;date&gt;2005/02/16&lt;/date&gt;&lt;/pub-dates&gt;&lt;/dates&gt;&lt;publisher&gt;Taylor &amp;amp; Francis&lt;/publisher&gt;&lt;isbn&gt;0145-7632&lt;/isbn&gt;&lt;urls&gt;&lt;related-urls&gt;&lt;url&gt;https://doi.org/10.1080/01457630590907310&lt;/url&gt;&lt;/related-urls&gt;&lt;/urls&gt;&lt;electronic-resource-num&gt;10.1080/01457630590907310&lt;/electronic-resource-num&gt;&lt;/record&gt;&lt;/Cite&gt;&lt;/EndNote&gt;</w:instrText>
      </w:r>
      <w:r w:rsidR="009C745E">
        <w:rPr>
          <w:rFonts w:ascii="Arial" w:hAnsi="Arial" w:cs="Arial"/>
          <w:color w:val="000000"/>
          <w:sz w:val="22"/>
          <w:szCs w:val="22"/>
        </w:rPr>
        <w:fldChar w:fldCharType="separate"/>
      </w:r>
      <w:r w:rsidR="000D11C8">
        <w:rPr>
          <w:rFonts w:ascii="Arial" w:hAnsi="Arial" w:cs="Arial"/>
          <w:noProof/>
          <w:color w:val="000000"/>
          <w:sz w:val="22"/>
          <w:szCs w:val="22"/>
        </w:rPr>
        <w:t>[3]</w:t>
      </w:r>
      <w:r w:rsidR="009C745E">
        <w:rPr>
          <w:rFonts w:ascii="Arial" w:hAnsi="Arial" w:cs="Arial"/>
          <w:color w:val="000000"/>
          <w:sz w:val="22"/>
          <w:szCs w:val="22"/>
        </w:rPr>
        <w:fldChar w:fldCharType="end"/>
      </w:r>
      <w:r w:rsidRPr="004B6EBE">
        <w:rPr>
          <w:rFonts w:ascii="Arial" w:hAnsi="Arial" w:cs="Arial"/>
          <w:color w:val="000000"/>
          <w:sz w:val="22"/>
          <w:szCs w:val="22"/>
        </w:rPr>
        <w:t xml:space="preserve">. By contrast, we calculated </w:t>
      </w:r>
      <w:r w:rsidR="006E4134" w:rsidRPr="008145F2">
        <w:rPr>
          <w:rFonts w:ascii="Cambria Math" w:hAnsi="Cambria Math" w:cs="Arial"/>
          <w:i/>
          <w:color w:val="000000"/>
          <w:sz w:val="22"/>
          <w:szCs w:val="22"/>
        </w:rPr>
        <w:t>α</w:t>
      </w:r>
      <w:r w:rsidRPr="004B6EBE">
        <w:rPr>
          <w:rFonts w:ascii="Arial" w:hAnsi="Arial" w:cs="Arial"/>
          <w:color w:val="000000"/>
          <w:sz w:val="22"/>
          <w:szCs w:val="22"/>
        </w:rPr>
        <w:t xml:space="preserve"> after a single cycle of mixing at </w:t>
      </w:r>
      <w:r w:rsidRPr="00722F18">
        <w:rPr>
          <w:rFonts w:ascii="Arial" w:hAnsi="Arial" w:cs="Arial"/>
          <w:i/>
          <w:color w:val="000000"/>
          <w:sz w:val="22"/>
          <w:szCs w:val="22"/>
        </w:rPr>
        <w:t>Re</w:t>
      </w:r>
      <w:r w:rsidRPr="004B6EBE">
        <w:rPr>
          <w:rFonts w:ascii="Arial" w:hAnsi="Arial" w:cs="Arial"/>
          <w:color w:val="000000"/>
          <w:sz w:val="22"/>
          <w:szCs w:val="22"/>
        </w:rPr>
        <w:t xml:space="preserve"> = 0.4 and for a similar channel dimension</w:t>
      </w:r>
      <w:r>
        <w:rPr>
          <w:rFonts w:ascii="Arial" w:hAnsi="Arial" w:cs="Arial"/>
          <w:color w:val="000000"/>
          <w:sz w:val="22"/>
          <w:szCs w:val="22"/>
        </w:rPr>
        <w:t xml:space="preserve"> </w:t>
      </w:r>
      <w:r w:rsidRPr="004B6EBE">
        <w:rPr>
          <w:rFonts w:ascii="Arial" w:hAnsi="Arial" w:cs="Arial"/>
          <w:color w:val="000000"/>
          <w:sz w:val="22"/>
          <w:szCs w:val="22"/>
        </w:rPr>
        <w:t xml:space="preserve">to be 0.8, an approximately 6-fold increase in mixing quality due to the SHM. Thus, we expect that the presence of the 90° bends in this SHM design improves mixing, but </w:t>
      </w:r>
      <w:r>
        <w:rPr>
          <w:rFonts w:ascii="Arial" w:hAnsi="Arial" w:cs="Arial"/>
          <w:color w:val="000000"/>
          <w:sz w:val="22"/>
          <w:szCs w:val="22"/>
        </w:rPr>
        <w:t xml:space="preserve">that they </w:t>
      </w:r>
      <w:r w:rsidRPr="004B6EBE">
        <w:rPr>
          <w:rFonts w:ascii="Arial" w:hAnsi="Arial" w:cs="Arial"/>
          <w:color w:val="000000"/>
          <w:sz w:val="22"/>
          <w:szCs w:val="22"/>
        </w:rPr>
        <w:t>likely do not dominate the mixing response.</w:t>
      </w:r>
    </w:p>
    <w:p w14:paraId="203B881C" w14:textId="77777777" w:rsidR="004B6EBE" w:rsidRDefault="004B6EBE" w:rsidP="004560B8">
      <w:pPr>
        <w:spacing w:line="276" w:lineRule="auto"/>
        <w:rPr>
          <w:sz w:val="22"/>
          <w:szCs w:val="22"/>
        </w:rPr>
      </w:pPr>
    </w:p>
    <w:p w14:paraId="47B11F88" w14:textId="77777777" w:rsidR="00675EE3" w:rsidRPr="006C7265" w:rsidRDefault="00675EE3" w:rsidP="004560B8">
      <w:pPr>
        <w:spacing w:line="276" w:lineRule="auto"/>
        <w:rPr>
          <w:sz w:val="22"/>
          <w:szCs w:val="22"/>
        </w:rPr>
      </w:pPr>
      <w:r w:rsidRPr="006C7265">
        <w:rPr>
          <w:rFonts w:ascii="Arial" w:hAnsi="Arial" w:cs="Arial"/>
          <w:b/>
          <w:bCs/>
          <w:color w:val="000000"/>
          <w:sz w:val="22"/>
          <w:szCs w:val="22"/>
        </w:rPr>
        <w:t>Mixing Analysis </w:t>
      </w:r>
    </w:p>
    <w:p w14:paraId="71138D14" w14:textId="77777777" w:rsidR="00675EE3" w:rsidRDefault="00675EE3" w:rsidP="004560B8">
      <w:pPr>
        <w:spacing w:line="276" w:lineRule="auto"/>
        <w:rPr>
          <w:rFonts w:ascii="Arial" w:hAnsi="Arial" w:cs="Arial"/>
          <w:color w:val="000000"/>
          <w:sz w:val="22"/>
          <w:szCs w:val="22"/>
        </w:rPr>
      </w:pPr>
      <w:r w:rsidRPr="006C7265">
        <w:rPr>
          <w:rFonts w:ascii="Arial" w:hAnsi="Arial" w:cs="Arial"/>
          <w:color w:val="000000"/>
          <w:sz w:val="22"/>
          <w:szCs w:val="22"/>
        </w:rPr>
        <w:t xml:space="preserve">The </w:t>
      </w:r>
      <w:r w:rsidRPr="006C7265">
        <w:rPr>
          <w:rFonts w:ascii="Arial" w:hAnsi="Arial" w:cs="Arial"/>
          <w:i/>
          <w:color w:val="000000"/>
          <w:sz w:val="22"/>
          <w:szCs w:val="22"/>
        </w:rPr>
        <w:t>Re</w:t>
      </w:r>
      <w:r w:rsidRPr="006C7265">
        <w:rPr>
          <w:rFonts w:ascii="Arial" w:hAnsi="Arial" w:cs="Arial"/>
          <w:color w:val="000000"/>
          <w:sz w:val="22"/>
          <w:szCs w:val="22"/>
        </w:rPr>
        <w:t xml:space="preserve"> and </w:t>
      </w:r>
      <w:proofErr w:type="spellStart"/>
      <w:r w:rsidRPr="006C7265">
        <w:rPr>
          <w:rFonts w:ascii="Arial" w:hAnsi="Arial" w:cs="Arial"/>
          <w:i/>
          <w:color w:val="000000"/>
          <w:sz w:val="22"/>
          <w:szCs w:val="22"/>
        </w:rPr>
        <w:t>Pe</w:t>
      </w:r>
      <w:proofErr w:type="spellEnd"/>
      <w:r w:rsidRPr="006C7265">
        <w:rPr>
          <w:rFonts w:ascii="Arial" w:hAnsi="Arial" w:cs="Arial"/>
          <w:color w:val="000000"/>
          <w:sz w:val="22"/>
          <w:szCs w:val="22"/>
        </w:rPr>
        <w:t xml:space="preserve"> values were calculated as follows: </w:t>
      </w:r>
    </w:p>
    <w:p w14:paraId="16182EF4" w14:textId="77777777" w:rsidR="00675EE3" w:rsidRDefault="00675EE3" w:rsidP="004560B8">
      <w:pPr>
        <w:spacing w:line="276" w:lineRule="auto"/>
        <w:jc w:val="center"/>
        <w:rPr>
          <w:rFonts w:ascii="Arial" w:hAnsi="Arial" w:cs="Arial"/>
          <w:color w:val="000000"/>
          <w:sz w:val="22"/>
          <w:szCs w:val="22"/>
        </w:rPr>
      </w:pPr>
      <m:oMath>
        <m:r>
          <w:rPr>
            <w:rFonts w:ascii="Cambria Math" w:hAnsi="Cambria Math" w:cs="Arial"/>
            <w:color w:val="000000"/>
            <w:sz w:val="22"/>
            <w:szCs w:val="22"/>
          </w:rPr>
          <m:t xml:space="preserve">Re=  </m:t>
        </m:r>
        <m:f>
          <m:fPr>
            <m:ctrlPr>
              <w:rPr>
                <w:rFonts w:ascii="Cambria Math" w:hAnsi="Cambria Math" w:cs="Arial"/>
                <w:i/>
                <w:color w:val="000000"/>
                <w:sz w:val="22"/>
                <w:szCs w:val="22"/>
              </w:rPr>
            </m:ctrlPr>
          </m:fPr>
          <m:num>
            <m:r>
              <w:rPr>
                <w:rFonts w:ascii="Cambria Math" w:hAnsi="Cambria Math" w:cs="Arial"/>
                <w:color w:val="000000"/>
                <w:sz w:val="22"/>
                <w:szCs w:val="22"/>
              </w:rPr>
              <m:t>uH</m:t>
            </m:r>
          </m:num>
          <m:den>
            <m:r>
              <w:rPr>
                <w:rFonts w:ascii="Cambria Math" w:hAnsi="Cambria Math" w:cs="Arial"/>
                <w:color w:val="000000"/>
                <w:sz w:val="22"/>
                <w:szCs w:val="22"/>
              </w:rPr>
              <m:t>v</m:t>
            </m:r>
          </m:den>
        </m:f>
      </m:oMath>
      <w:r>
        <w:rPr>
          <w:rFonts w:ascii="Arial" w:hAnsi="Arial" w:cs="Arial"/>
          <w:color w:val="000000"/>
          <w:sz w:val="22"/>
          <w:szCs w:val="22"/>
        </w:rPr>
        <w:t>,</w:t>
      </w:r>
    </w:p>
    <w:p w14:paraId="38CE15B1" w14:textId="77777777" w:rsidR="00675EE3" w:rsidRDefault="00675EE3" w:rsidP="004560B8">
      <w:pPr>
        <w:spacing w:line="276" w:lineRule="auto"/>
        <w:jc w:val="center"/>
        <w:rPr>
          <w:rFonts w:ascii="Arial" w:hAnsi="Arial" w:cs="Arial"/>
          <w:color w:val="000000"/>
          <w:sz w:val="22"/>
          <w:szCs w:val="22"/>
        </w:rPr>
      </w:pPr>
      <w:r w:rsidRPr="006C7265">
        <w:rPr>
          <w:rFonts w:ascii="Arial" w:hAnsi="Arial" w:cs="Arial"/>
          <w:color w:val="000000"/>
          <w:sz w:val="22"/>
          <w:szCs w:val="22"/>
        </w:rPr>
        <w:t xml:space="preserve"> </w:t>
      </w:r>
      <m:oMath>
        <m:r>
          <w:rPr>
            <w:rFonts w:ascii="Cambria Math" w:hAnsi="Cambria Math" w:cs="Arial"/>
            <w:color w:val="000000"/>
            <w:sz w:val="22"/>
            <w:szCs w:val="22"/>
          </w:rPr>
          <m:t xml:space="preserve">Pe=  </m:t>
        </m:r>
        <m:f>
          <m:fPr>
            <m:ctrlPr>
              <w:rPr>
                <w:rFonts w:ascii="Cambria Math" w:hAnsi="Cambria Math" w:cs="Arial"/>
                <w:i/>
                <w:color w:val="000000"/>
                <w:sz w:val="22"/>
                <w:szCs w:val="22"/>
              </w:rPr>
            </m:ctrlPr>
          </m:fPr>
          <m:num>
            <m:r>
              <w:rPr>
                <w:rFonts w:ascii="Cambria Math" w:hAnsi="Cambria Math" w:cs="Arial"/>
                <w:color w:val="000000"/>
                <w:sz w:val="22"/>
                <w:szCs w:val="22"/>
              </w:rPr>
              <m:t>uL</m:t>
            </m:r>
          </m:num>
          <m:den>
            <m:r>
              <w:rPr>
                <w:rFonts w:ascii="Cambria Math" w:hAnsi="Cambria Math" w:cs="Arial"/>
                <w:color w:val="000000"/>
                <w:sz w:val="22"/>
                <w:szCs w:val="22"/>
              </w:rPr>
              <m:t>D</m:t>
            </m:r>
          </m:den>
        </m:f>
      </m:oMath>
      <w:r>
        <w:rPr>
          <w:rFonts w:ascii="Arial" w:hAnsi="Arial" w:cs="Arial"/>
          <w:color w:val="000000"/>
          <w:sz w:val="22"/>
          <w:szCs w:val="22"/>
        </w:rPr>
        <w:t>,</w:t>
      </w:r>
    </w:p>
    <w:p w14:paraId="5522F2FA" w14:textId="77777777" w:rsidR="00675EE3" w:rsidRDefault="00675EE3" w:rsidP="004560B8">
      <w:pPr>
        <w:spacing w:line="276" w:lineRule="auto"/>
        <w:rPr>
          <w:rFonts w:ascii="Arial" w:hAnsi="Arial" w:cs="Arial"/>
          <w:color w:val="000000"/>
          <w:sz w:val="22"/>
          <w:szCs w:val="22"/>
        </w:rPr>
      </w:pPr>
      <w:r w:rsidRPr="006C7265">
        <w:rPr>
          <w:rFonts w:ascii="Arial" w:hAnsi="Arial" w:cs="Arial"/>
          <w:color w:val="000000"/>
          <w:sz w:val="22"/>
          <w:szCs w:val="22"/>
        </w:rPr>
        <w:t xml:space="preserve">where </w:t>
      </w:r>
      <m:oMath>
        <m:r>
          <w:rPr>
            <w:rFonts w:ascii="Cambria Math" w:hAnsi="Cambria Math" w:cs="Arial"/>
            <w:color w:val="000000"/>
            <w:sz w:val="22"/>
            <w:szCs w:val="22"/>
          </w:rPr>
          <m:t>u</m:t>
        </m:r>
      </m:oMath>
      <w:r w:rsidR="00507961">
        <w:rPr>
          <w:rFonts w:ascii="Arial" w:hAnsi="Arial" w:cs="Arial"/>
          <w:color w:val="000000"/>
          <w:sz w:val="22"/>
          <w:szCs w:val="22"/>
        </w:rPr>
        <w:t xml:space="preserve"> is the average velocity defined by </w:t>
      </w:r>
      <m:oMath>
        <m:r>
          <w:rPr>
            <w:rFonts w:ascii="Cambria Math" w:hAnsi="Cambria Math" w:cs="Arial"/>
            <w:color w:val="000000"/>
            <w:sz w:val="22"/>
            <w:szCs w:val="22"/>
          </w:rPr>
          <m:t>u=q/WH</m:t>
        </m:r>
      </m:oMath>
      <w:r w:rsidR="00507961">
        <w:rPr>
          <w:rFonts w:ascii="Arial" w:hAnsi="Arial" w:cs="Arial"/>
          <w:color w:val="000000"/>
          <w:sz w:val="22"/>
          <w:szCs w:val="22"/>
        </w:rPr>
        <w:t xml:space="preserve"> and </w:t>
      </w:r>
      <m:oMath>
        <m:r>
          <w:rPr>
            <w:rFonts w:ascii="Cambria Math" w:hAnsi="Cambria Math" w:cs="Arial"/>
            <w:color w:val="000000"/>
            <w:sz w:val="22"/>
            <w:szCs w:val="22"/>
          </w:rPr>
          <m:t>q</m:t>
        </m:r>
      </m:oMath>
      <w:r w:rsidR="00507961">
        <w:rPr>
          <w:rFonts w:ascii="Arial" w:hAnsi="Arial" w:cs="Arial"/>
          <w:color w:val="000000"/>
          <w:sz w:val="22"/>
          <w:szCs w:val="22"/>
        </w:rPr>
        <w:t xml:space="preserve"> is the volumetric flow rate</w:t>
      </w:r>
      <w:r w:rsidRPr="006C7265">
        <w:rPr>
          <w:rFonts w:ascii="Arial" w:hAnsi="Arial" w:cs="Arial"/>
          <w:color w:val="000000"/>
          <w:sz w:val="22"/>
          <w:szCs w:val="22"/>
        </w:rPr>
        <w:t xml:space="preserve">, </w:t>
      </w:r>
      <m:oMath>
        <m:r>
          <w:rPr>
            <w:rFonts w:ascii="Cambria Math" w:hAnsi="Cambria Math" w:cs="Arial"/>
            <w:color w:val="000000"/>
            <w:sz w:val="22"/>
            <w:szCs w:val="22"/>
          </w:rPr>
          <m:t xml:space="preserve"> H</m:t>
        </m:r>
      </m:oMath>
      <w:r>
        <w:rPr>
          <w:rFonts w:ascii="Arial" w:hAnsi="Arial" w:cs="Arial"/>
          <w:color w:val="000000"/>
          <w:sz w:val="22"/>
          <w:szCs w:val="22"/>
        </w:rPr>
        <w:t xml:space="preserve"> </w:t>
      </w:r>
      <w:r w:rsidRPr="006C7265">
        <w:rPr>
          <w:rFonts w:ascii="Arial" w:hAnsi="Arial" w:cs="Arial"/>
          <w:color w:val="000000"/>
          <w:sz w:val="22"/>
          <w:szCs w:val="22"/>
        </w:rPr>
        <w:t xml:space="preserve">is the channel </w:t>
      </w:r>
      <w:r>
        <w:rPr>
          <w:rFonts w:ascii="Arial" w:hAnsi="Arial" w:cs="Arial"/>
          <w:color w:val="000000"/>
          <w:sz w:val="22"/>
          <w:szCs w:val="22"/>
        </w:rPr>
        <w:t>height</w:t>
      </w:r>
      <w:r w:rsidRPr="006C7265">
        <w:rPr>
          <w:rFonts w:ascii="Arial" w:hAnsi="Arial" w:cs="Arial"/>
          <w:color w:val="000000"/>
          <w:sz w:val="22"/>
          <w:szCs w:val="22"/>
        </w:rPr>
        <w:t xml:space="preserve">, </w:t>
      </w:r>
      <w:r w:rsidRPr="006C7265">
        <w:rPr>
          <w:rFonts w:ascii="Symbol" w:hAnsi="Symbol" w:cs="Arial"/>
          <w:i/>
          <w:color w:val="000000"/>
          <w:sz w:val="22"/>
          <w:szCs w:val="22"/>
        </w:rPr>
        <w:t></w:t>
      </w:r>
      <w:r w:rsidRPr="006C7265">
        <w:rPr>
          <w:rFonts w:ascii="Arial" w:hAnsi="Arial" w:cs="Arial"/>
          <w:color w:val="000000"/>
          <w:sz w:val="22"/>
          <w:szCs w:val="22"/>
        </w:rPr>
        <w:t xml:space="preserve"> is </w:t>
      </w:r>
      <w:r>
        <w:rPr>
          <w:rFonts w:ascii="Arial" w:hAnsi="Arial" w:cs="Arial"/>
          <w:color w:val="000000"/>
          <w:sz w:val="22"/>
          <w:szCs w:val="22"/>
        </w:rPr>
        <w:t>the</w:t>
      </w:r>
      <w:r w:rsidRPr="006C7265">
        <w:rPr>
          <w:rFonts w:ascii="Arial" w:hAnsi="Arial" w:cs="Arial"/>
          <w:color w:val="000000"/>
          <w:sz w:val="22"/>
          <w:szCs w:val="22"/>
        </w:rPr>
        <w:t xml:space="preserve"> kinematic viscosity of water, </w:t>
      </w:r>
      <m:oMath>
        <m:r>
          <w:rPr>
            <w:rFonts w:ascii="Cambria Math" w:hAnsi="Cambria Math" w:cs="Arial"/>
            <w:color w:val="000000"/>
            <w:sz w:val="22"/>
            <w:szCs w:val="22"/>
          </w:rPr>
          <m:t>L</m:t>
        </m:r>
      </m:oMath>
      <w:r>
        <w:rPr>
          <w:rFonts w:ascii="Arial" w:hAnsi="Arial" w:cs="Arial"/>
          <w:color w:val="000000"/>
          <w:sz w:val="22"/>
          <w:szCs w:val="22"/>
        </w:rPr>
        <w:t xml:space="preserve"> is a characteristic length, given here by half of the channel width</w:t>
      </w:r>
      <w:r w:rsidR="002C35B5">
        <w:rPr>
          <w:rFonts w:ascii="Arial" w:hAnsi="Arial" w:cs="Arial"/>
          <w:color w:val="000000"/>
          <w:sz w:val="22"/>
          <w:szCs w:val="22"/>
        </w:rPr>
        <w:t>:</w:t>
      </w:r>
      <w:r w:rsidR="00507961">
        <w:rPr>
          <w:rFonts w:ascii="Arial" w:hAnsi="Arial" w:cs="Arial"/>
          <w:color w:val="000000"/>
          <w:sz w:val="22"/>
          <w:szCs w:val="22"/>
        </w:rPr>
        <w:t xml:space="preserve"> </w:t>
      </w:r>
      <m:oMath>
        <m:r>
          <w:rPr>
            <w:rFonts w:ascii="Cambria Math" w:hAnsi="Cambria Math" w:cs="Arial"/>
            <w:color w:val="000000"/>
            <w:sz w:val="22"/>
            <w:szCs w:val="22"/>
          </w:rPr>
          <m:t>W/2</m:t>
        </m:r>
      </m:oMath>
      <w:r>
        <w:rPr>
          <w:rFonts w:ascii="Arial" w:hAnsi="Arial" w:cs="Arial"/>
          <w:color w:val="000000"/>
          <w:sz w:val="22"/>
          <w:szCs w:val="22"/>
        </w:rPr>
        <w:t xml:space="preserve">, </w:t>
      </w:r>
      <w:r w:rsidRPr="006C7265">
        <w:rPr>
          <w:rFonts w:ascii="Arial" w:hAnsi="Arial" w:cs="Arial"/>
          <w:color w:val="000000"/>
          <w:sz w:val="22"/>
          <w:szCs w:val="22"/>
        </w:rPr>
        <w:t xml:space="preserve">and </w:t>
      </w:r>
      <w:r w:rsidRPr="006C7265">
        <w:rPr>
          <w:rFonts w:ascii="Arial" w:hAnsi="Arial" w:cs="Arial"/>
          <w:i/>
          <w:color w:val="000000"/>
          <w:sz w:val="22"/>
          <w:szCs w:val="22"/>
        </w:rPr>
        <w:t>D</w:t>
      </w:r>
      <w:r w:rsidRPr="006C7265">
        <w:rPr>
          <w:rFonts w:ascii="Arial" w:hAnsi="Arial" w:cs="Arial"/>
          <w:color w:val="000000"/>
          <w:sz w:val="22"/>
          <w:szCs w:val="22"/>
        </w:rPr>
        <w:t xml:space="preserve"> is the Stokes-Einstein diffusivity of the FITC dextran molecules. </w:t>
      </w:r>
      <w:r>
        <w:rPr>
          <w:rFonts w:ascii="Arial" w:hAnsi="Arial" w:cs="Arial"/>
          <w:i/>
          <w:iCs/>
          <w:color w:val="000000"/>
          <w:sz w:val="22"/>
          <w:szCs w:val="22"/>
        </w:rPr>
        <w:t>D</w:t>
      </w:r>
      <w:r>
        <w:rPr>
          <w:rFonts w:ascii="Arial" w:hAnsi="Arial" w:cs="Arial"/>
          <w:color w:val="000000"/>
          <w:sz w:val="22"/>
          <w:szCs w:val="22"/>
        </w:rPr>
        <w:t xml:space="preserve"> is calculated by the following formula: </w:t>
      </w:r>
    </w:p>
    <w:p w14:paraId="38D04C31" w14:textId="77777777" w:rsidR="00675EE3" w:rsidRDefault="00675EE3" w:rsidP="004560B8">
      <w:pPr>
        <w:spacing w:line="276" w:lineRule="auto"/>
        <w:jc w:val="center"/>
        <w:rPr>
          <w:rFonts w:ascii="Arial" w:hAnsi="Arial" w:cs="Arial"/>
          <w:color w:val="000000"/>
          <w:sz w:val="22"/>
          <w:szCs w:val="22"/>
        </w:rPr>
      </w:pPr>
      <m:oMath>
        <m:r>
          <w:rPr>
            <w:rFonts w:ascii="Cambria Math" w:hAnsi="Cambria Math" w:cs="Arial"/>
            <w:color w:val="000000"/>
            <w:sz w:val="22"/>
            <w:szCs w:val="22"/>
          </w:rPr>
          <m:t xml:space="preserve">D= </m:t>
        </m:r>
        <m:f>
          <m:fPr>
            <m:ctrlPr>
              <w:rPr>
                <w:rFonts w:ascii="Cambria Math" w:hAnsi="Cambria Math" w:cs="Arial"/>
                <w:i/>
                <w:color w:val="000000"/>
                <w:sz w:val="22"/>
                <w:szCs w:val="22"/>
              </w:rPr>
            </m:ctrlPr>
          </m:fPr>
          <m:num>
            <m:sSub>
              <m:sSubPr>
                <m:ctrlPr>
                  <w:rPr>
                    <w:rFonts w:ascii="Cambria Math" w:hAnsi="Cambria Math" w:cs="Arial"/>
                    <w:i/>
                    <w:color w:val="000000"/>
                    <w:sz w:val="22"/>
                    <w:szCs w:val="22"/>
                  </w:rPr>
                </m:ctrlPr>
              </m:sSubPr>
              <m:e>
                <m:r>
                  <w:rPr>
                    <w:rFonts w:ascii="Cambria Math" w:hAnsi="Cambria Math" w:cs="Arial"/>
                    <w:color w:val="000000"/>
                    <w:sz w:val="22"/>
                    <w:szCs w:val="22"/>
                  </w:rPr>
                  <m:t>k</m:t>
                </m:r>
              </m:e>
              <m:sub>
                <m:r>
                  <w:rPr>
                    <w:rFonts w:ascii="Cambria Math" w:hAnsi="Cambria Math" w:cs="Arial"/>
                    <w:color w:val="000000"/>
                    <w:sz w:val="22"/>
                    <w:szCs w:val="22"/>
                  </w:rPr>
                  <m:t>B</m:t>
                </m:r>
              </m:sub>
            </m:sSub>
            <m:r>
              <w:rPr>
                <w:rFonts w:ascii="Cambria Math" w:hAnsi="Cambria Math" w:cs="Arial"/>
                <w:color w:val="000000"/>
                <w:sz w:val="22"/>
                <w:szCs w:val="22"/>
              </w:rPr>
              <m:t>T</m:t>
            </m:r>
          </m:num>
          <m:den>
            <m:r>
              <w:rPr>
                <w:rFonts w:ascii="Cambria Math" w:hAnsi="Cambria Math" w:cs="Arial"/>
                <w:color w:val="000000"/>
                <w:sz w:val="22"/>
                <w:szCs w:val="22"/>
              </w:rPr>
              <m:t>6πηr</m:t>
            </m:r>
          </m:den>
        </m:f>
      </m:oMath>
      <w:r>
        <w:rPr>
          <w:rFonts w:ascii="Arial" w:hAnsi="Arial" w:cs="Arial"/>
          <w:color w:val="000000"/>
          <w:sz w:val="22"/>
          <w:szCs w:val="22"/>
        </w:rPr>
        <w:t>,</w:t>
      </w:r>
    </w:p>
    <w:p w14:paraId="2A07D8CE" w14:textId="77777777" w:rsidR="00675EE3" w:rsidRDefault="00675EE3" w:rsidP="004560B8">
      <w:pPr>
        <w:spacing w:line="276" w:lineRule="auto"/>
        <w:rPr>
          <w:rFonts w:ascii="Arial" w:hAnsi="Arial" w:cs="Arial"/>
          <w:color w:val="000000"/>
          <w:sz w:val="22"/>
          <w:szCs w:val="22"/>
        </w:rPr>
      </w:pPr>
      <w:r>
        <w:rPr>
          <w:rFonts w:ascii="Arial" w:hAnsi="Arial" w:cs="Arial"/>
          <w:color w:val="000000"/>
          <w:sz w:val="22"/>
          <w:szCs w:val="22"/>
        </w:rPr>
        <w:t xml:space="preserve">where </w:t>
      </w:r>
      <w:r w:rsidRPr="00D7761D">
        <w:rPr>
          <w:rFonts w:ascii="Arial" w:hAnsi="Arial" w:cs="Arial"/>
          <w:i/>
          <w:color w:val="000000"/>
          <w:sz w:val="22"/>
          <w:szCs w:val="22"/>
        </w:rPr>
        <w:t>k</w:t>
      </w:r>
      <w:r w:rsidRPr="00D7761D">
        <w:rPr>
          <w:rFonts w:ascii="Arial" w:hAnsi="Arial" w:cs="Arial"/>
          <w:i/>
          <w:color w:val="000000"/>
          <w:sz w:val="22"/>
          <w:szCs w:val="22"/>
          <w:vertAlign w:val="subscript"/>
        </w:rPr>
        <w:t>B</w:t>
      </w:r>
      <w:r>
        <w:rPr>
          <w:rFonts w:ascii="Arial" w:hAnsi="Arial" w:cs="Arial"/>
          <w:color w:val="000000"/>
          <w:sz w:val="22"/>
          <w:szCs w:val="22"/>
        </w:rPr>
        <w:t xml:space="preserve"> is the Boltzmann constant, </w:t>
      </w:r>
      <w:r w:rsidRPr="00D7761D">
        <w:rPr>
          <w:rFonts w:ascii="Arial" w:hAnsi="Arial" w:cs="Arial"/>
          <w:i/>
          <w:color w:val="000000"/>
          <w:sz w:val="22"/>
          <w:szCs w:val="22"/>
        </w:rPr>
        <w:t>T</w:t>
      </w:r>
      <w:r>
        <w:rPr>
          <w:rFonts w:ascii="Arial" w:hAnsi="Arial" w:cs="Arial"/>
          <w:color w:val="000000"/>
          <w:sz w:val="22"/>
          <w:szCs w:val="22"/>
        </w:rPr>
        <w:t xml:space="preserve"> is solution temperature, </w:t>
      </w:r>
      <m:oMath>
        <m:r>
          <w:rPr>
            <w:rFonts w:ascii="Cambria Math" w:hAnsi="Cambria Math" w:cs="Arial"/>
            <w:color w:val="000000"/>
            <w:sz w:val="22"/>
            <w:szCs w:val="22"/>
          </w:rPr>
          <m:t>η</m:t>
        </m:r>
      </m:oMath>
      <w:r>
        <w:rPr>
          <w:rFonts w:ascii="Arial" w:hAnsi="Arial" w:cs="Arial"/>
          <w:color w:val="000000"/>
          <w:sz w:val="22"/>
          <w:szCs w:val="22"/>
        </w:rPr>
        <w:t xml:space="preserve"> is solution shear viscosity, and </w:t>
      </w:r>
      <w:r w:rsidRPr="00D7761D">
        <w:rPr>
          <w:rFonts w:ascii="Arial" w:hAnsi="Arial" w:cs="Arial"/>
          <w:i/>
          <w:color w:val="000000"/>
          <w:sz w:val="22"/>
          <w:szCs w:val="22"/>
        </w:rPr>
        <w:t>r</w:t>
      </w:r>
      <w:r>
        <w:rPr>
          <w:rFonts w:ascii="Arial" w:hAnsi="Arial" w:cs="Arial"/>
          <w:color w:val="000000"/>
          <w:sz w:val="22"/>
          <w:szCs w:val="22"/>
        </w:rPr>
        <w:t xml:space="preserve"> is the molecular radius (obtained from Sigma Aldrich). </w:t>
      </w:r>
    </w:p>
    <w:p w14:paraId="0A152AFC" w14:textId="77777777" w:rsidR="00675EE3" w:rsidRDefault="00675EE3" w:rsidP="004560B8">
      <w:pPr>
        <w:spacing w:line="276" w:lineRule="auto"/>
        <w:rPr>
          <w:rFonts w:ascii="Arial" w:hAnsi="Arial" w:cs="Arial"/>
          <w:color w:val="000000"/>
          <w:sz w:val="22"/>
          <w:szCs w:val="22"/>
        </w:rPr>
      </w:pPr>
    </w:p>
    <w:p w14:paraId="5F1A9BE2" w14:textId="41A3D6A5" w:rsidR="00B31E98" w:rsidRDefault="00675EE3" w:rsidP="004560B8">
      <w:pPr>
        <w:spacing w:line="276" w:lineRule="auto"/>
        <w:rPr>
          <w:rFonts w:ascii="Arial" w:hAnsi="Arial" w:cs="Arial"/>
          <w:color w:val="000000"/>
          <w:sz w:val="22"/>
          <w:szCs w:val="22"/>
        </w:rPr>
      </w:pPr>
      <w:r w:rsidRPr="006C7265">
        <w:rPr>
          <w:rFonts w:ascii="Arial" w:hAnsi="Arial" w:cs="Arial"/>
          <w:color w:val="000000"/>
          <w:sz w:val="22"/>
          <w:szCs w:val="22"/>
        </w:rPr>
        <w:t xml:space="preserve">All image processing was performed using MATLAB R2019a.  Videos were uploaded into MATLAB and the edges of the channel were detected. </w:t>
      </w:r>
      <w:r>
        <w:rPr>
          <w:rFonts w:ascii="Arial" w:hAnsi="Arial" w:cs="Arial"/>
          <w:color w:val="000000"/>
          <w:sz w:val="22"/>
          <w:szCs w:val="22"/>
        </w:rPr>
        <w:t>Edge detection was performed by calculating the gradient in the</w:t>
      </w:r>
      <w:r w:rsidRPr="00BD7F8F">
        <w:rPr>
          <w:rFonts w:ascii="Arial" w:hAnsi="Arial" w:cs="Arial"/>
          <w:i/>
          <w:color w:val="000000"/>
          <w:sz w:val="22"/>
          <w:szCs w:val="22"/>
        </w:rPr>
        <w:t xml:space="preserve"> x</w:t>
      </w:r>
      <w:r>
        <w:rPr>
          <w:rFonts w:ascii="Arial" w:hAnsi="Arial" w:cs="Arial"/>
          <w:color w:val="000000"/>
          <w:sz w:val="22"/>
          <w:szCs w:val="22"/>
        </w:rPr>
        <w:t xml:space="preserve"> direction at each point (channel edges oriented such that they were roughly running vertical, in the </w:t>
      </w:r>
      <w:r w:rsidRPr="00BD7F8F">
        <w:rPr>
          <w:rFonts w:ascii="Arial" w:hAnsi="Arial" w:cs="Arial"/>
          <w:i/>
          <w:color w:val="000000"/>
          <w:sz w:val="22"/>
          <w:szCs w:val="22"/>
        </w:rPr>
        <w:t>y</w:t>
      </w:r>
      <w:r>
        <w:rPr>
          <w:rFonts w:ascii="Arial" w:hAnsi="Arial" w:cs="Arial"/>
          <w:color w:val="000000"/>
          <w:sz w:val="22"/>
          <w:szCs w:val="22"/>
        </w:rPr>
        <w:t xml:space="preserve"> direction), and edge points were identified as those with the largest gradient in each row of the image. </w:t>
      </w:r>
      <w:r w:rsidRPr="006C7265">
        <w:rPr>
          <w:rFonts w:ascii="Arial" w:hAnsi="Arial" w:cs="Arial"/>
          <w:color w:val="000000"/>
          <w:sz w:val="22"/>
          <w:szCs w:val="22"/>
        </w:rPr>
        <w:t>To avoid possible irregularities in intensity values near the edge of the channel, the intensity data within 50 pixels of the channel edge on either side were ignored. The resulting truncated 2D intensity data w</w:t>
      </w:r>
      <w:r>
        <w:rPr>
          <w:rFonts w:ascii="Arial" w:hAnsi="Arial" w:cs="Arial"/>
          <w:color w:val="000000"/>
          <w:sz w:val="22"/>
          <w:szCs w:val="22"/>
        </w:rPr>
        <w:t>ere</w:t>
      </w:r>
      <w:r w:rsidRPr="006C7265">
        <w:rPr>
          <w:rFonts w:ascii="Arial" w:hAnsi="Arial" w:cs="Arial"/>
          <w:color w:val="000000"/>
          <w:sz w:val="22"/>
          <w:szCs w:val="22"/>
        </w:rPr>
        <w:t xml:space="preserve"> used to generate surface plot profiles, which allow for a qualitative analysis of the fluorescence intensity as a function of position within the channel. </w:t>
      </w:r>
      <w:r>
        <w:rPr>
          <w:rFonts w:ascii="Arial" w:hAnsi="Arial" w:cs="Arial"/>
          <w:color w:val="000000"/>
          <w:sz w:val="22"/>
          <w:szCs w:val="22"/>
        </w:rPr>
        <w:t>To enable more quantitative comparison, 1D intensity profiles were generated by averaging the intensity data from 50 rows of pixels at each position across the width of the channel and these averaged values smoothed. T</w:t>
      </w:r>
      <w:r w:rsidRPr="006C7265">
        <w:rPr>
          <w:rFonts w:ascii="Arial" w:hAnsi="Arial" w:cs="Arial"/>
          <w:color w:val="000000"/>
          <w:sz w:val="22"/>
          <w:szCs w:val="22"/>
        </w:rPr>
        <w:t xml:space="preserve">he fluorescence data within a single image frame </w:t>
      </w:r>
      <w:r>
        <w:rPr>
          <w:rFonts w:ascii="Arial" w:hAnsi="Arial" w:cs="Arial"/>
          <w:color w:val="000000"/>
          <w:sz w:val="22"/>
          <w:szCs w:val="22"/>
        </w:rPr>
        <w:t>were</w:t>
      </w:r>
      <w:r w:rsidRPr="006C7265">
        <w:rPr>
          <w:rFonts w:ascii="Arial" w:hAnsi="Arial" w:cs="Arial"/>
          <w:color w:val="000000"/>
          <w:sz w:val="22"/>
          <w:szCs w:val="22"/>
        </w:rPr>
        <w:t xml:space="preserve"> normalized by dividing each point by the maximum intensity value, yielding values ranging from 0 to 1</w:t>
      </w:r>
      <w:r>
        <w:rPr>
          <w:rFonts w:ascii="Arial" w:hAnsi="Arial" w:cs="Arial"/>
          <w:color w:val="000000"/>
          <w:sz w:val="22"/>
          <w:szCs w:val="22"/>
        </w:rPr>
        <w:t>, enabling comparison between mixing tests (Fig. S4)</w:t>
      </w:r>
      <w:r w:rsidRPr="006C7265">
        <w:rPr>
          <w:rFonts w:ascii="Arial" w:hAnsi="Arial" w:cs="Arial"/>
          <w:color w:val="000000"/>
          <w:sz w:val="22"/>
          <w:szCs w:val="22"/>
        </w:rPr>
        <w:t>. The fluctuations in normalized intensity were evaluated using the coefficient of variation (</w:t>
      </w:r>
      <w:r w:rsidRPr="00BD7F8F">
        <w:rPr>
          <w:rFonts w:ascii="Arial" w:hAnsi="Arial" w:cs="Arial"/>
          <w:i/>
          <w:color w:val="000000"/>
          <w:sz w:val="22"/>
          <w:szCs w:val="22"/>
        </w:rPr>
        <w:t>CV</w:t>
      </w:r>
      <w:r w:rsidRPr="006C7265">
        <w:rPr>
          <w:rFonts w:ascii="Arial" w:hAnsi="Arial" w:cs="Arial"/>
          <w:color w:val="000000"/>
          <w:sz w:val="22"/>
          <w:szCs w:val="22"/>
        </w:rPr>
        <w:t>), which is defined in this context as the standard deviation of the normalized fluorescence intensity divided by the average of the normalized intensity values</w:t>
      </w:r>
      <w:r>
        <w:rPr>
          <w:rFonts w:ascii="Arial" w:hAnsi="Arial" w:cs="Arial"/>
          <w:color w:val="000000"/>
          <w:sz w:val="22"/>
          <w:szCs w:val="22"/>
        </w:rPr>
        <w:t xml:space="preserve"> of the 1D intensity profiles</w:t>
      </w:r>
      <w:r w:rsidRPr="006C7265">
        <w:rPr>
          <w:rFonts w:ascii="Arial" w:hAnsi="Arial" w:cs="Arial"/>
          <w:color w:val="000000"/>
          <w:sz w:val="22"/>
          <w:szCs w:val="22"/>
        </w:rPr>
        <w:t>. The</w:t>
      </w:r>
      <w:r w:rsidRPr="00BD7F8F">
        <w:rPr>
          <w:rFonts w:ascii="Arial" w:hAnsi="Arial" w:cs="Arial"/>
          <w:i/>
          <w:color w:val="000000"/>
          <w:sz w:val="22"/>
          <w:szCs w:val="22"/>
        </w:rPr>
        <w:t xml:space="preserve"> CV</w:t>
      </w:r>
      <w:r w:rsidRPr="006C7265">
        <w:rPr>
          <w:rFonts w:ascii="Arial" w:hAnsi="Arial" w:cs="Arial"/>
          <w:color w:val="000000"/>
          <w:sz w:val="22"/>
          <w:szCs w:val="22"/>
        </w:rPr>
        <w:t xml:space="preserve"> values were then used as a metric to determine the quality of mixing. To confirm that the flow had reached steady-state, and that CV values did not vary over the course of the video, we calculated the CV value from the first and last frames of e</w:t>
      </w:r>
      <w:r w:rsidRPr="00BD4750">
        <w:rPr>
          <w:rFonts w:ascii="Arial" w:hAnsi="Arial" w:cs="Arial"/>
          <w:color w:val="000000"/>
          <w:sz w:val="22"/>
          <w:szCs w:val="22"/>
        </w:rPr>
        <w:t>ach video, and minimal variation was observed. Any profile with a CV &lt; 0.1 was classified as well mixed</w:t>
      </w:r>
      <w:r w:rsidR="009C745E">
        <w:rPr>
          <w:rFonts w:ascii="Arial" w:hAnsi="Arial" w:cs="Arial"/>
          <w:color w:val="000000"/>
          <w:sz w:val="22"/>
          <w:szCs w:val="22"/>
        </w:rPr>
        <w:t xml:space="preserve"> </w:t>
      </w:r>
      <w:r w:rsidR="009C745E">
        <w:rPr>
          <w:rFonts w:ascii="Arial" w:hAnsi="Arial" w:cs="Arial"/>
          <w:color w:val="000000"/>
          <w:sz w:val="22"/>
          <w:szCs w:val="22"/>
        </w:rPr>
        <w:fldChar w:fldCharType="begin"/>
      </w:r>
      <w:r w:rsidR="000D11C8">
        <w:rPr>
          <w:rFonts w:ascii="Arial" w:hAnsi="Arial" w:cs="Arial"/>
          <w:color w:val="000000"/>
          <w:sz w:val="22"/>
          <w:szCs w:val="22"/>
        </w:rPr>
        <w:instrText xml:space="preserve"> ADDIN EN.CITE &lt;EndNote&gt;&lt;Cite&gt;&lt;Author&gt;Williams&lt;/Author&gt;&lt;Year&gt;2008&lt;/Year&gt;&lt;RecNum&gt;24&lt;/RecNum&gt;&lt;DisplayText&gt;[4]&lt;/DisplayText&gt;&lt;record&gt;&lt;rec-number&gt;24&lt;/rec-number&gt;&lt;foreign-keys&gt;&lt;key app="EN" db-id="stfpxrae7fvzrfe2zdmpaevcpatwdarwstff" timestamp="1600404780"&gt;24&lt;/key&gt;&lt;/foreign-keys&gt;&lt;ref-type name="Journal Article"&gt;17&lt;/ref-type&gt;&lt;contributors&gt;&lt;authors&gt;&lt;author&gt;Williams, Manda S.&lt;/author&gt;&lt;author&gt;Longmuir, Kenneth J.&lt;/author&gt;&lt;author&gt;Yager, Paul&lt;/author&gt;&lt;/authors&gt;&lt;/contributors&gt;&lt;titles&gt;&lt;title&gt;A practical guide to the staggered herringbone mixer&lt;/title&gt;&lt;secondary-title&gt;Lab on a Chip&lt;/secondary-title&gt;&lt;/titles&gt;&lt;periodical&gt;&lt;full-title&gt;Lab on a Chip&lt;/full-title&gt;&lt;/periodical&gt;&lt;pages&gt;1121-1129&lt;/pages&gt;&lt;volume&gt;8&lt;/volume&gt;&lt;number&gt;7&lt;/number&gt;&lt;dates&gt;&lt;year&gt;2008&lt;/year&gt;&lt;/dates&gt;&lt;publisher&gt;The Royal Society of Chemistry&lt;/publisher&gt;&lt;isbn&gt;1473-0197&lt;/isbn&gt;&lt;work-type&gt;10.1039/B802562B&lt;/work-type&gt;&lt;urls&gt;&lt;related-urls&gt;&lt;url&gt;http://dx.doi.org/10.1039/B802562B&lt;/url&gt;&lt;/related-urls&gt;&lt;/urls&gt;&lt;electronic-resource-num&gt;10.1039/B802562B&lt;/electronic-resource-num&gt;&lt;/record&gt;&lt;/Cite&gt;&lt;/EndNote&gt;</w:instrText>
      </w:r>
      <w:r w:rsidR="009C745E">
        <w:rPr>
          <w:rFonts w:ascii="Arial" w:hAnsi="Arial" w:cs="Arial"/>
          <w:color w:val="000000"/>
          <w:sz w:val="22"/>
          <w:szCs w:val="22"/>
        </w:rPr>
        <w:fldChar w:fldCharType="separate"/>
      </w:r>
      <w:r w:rsidR="000D11C8">
        <w:rPr>
          <w:rFonts w:ascii="Arial" w:hAnsi="Arial" w:cs="Arial"/>
          <w:noProof/>
          <w:color w:val="000000"/>
          <w:sz w:val="22"/>
          <w:szCs w:val="22"/>
        </w:rPr>
        <w:t>[4]</w:t>
      </w:r>
      <w:r w:rsidR="009C745E">
        <w:rPr>
          <w:rFonts w:ascii="Arial" w:hAnsi="Arial" w:cs="Arial"/>
          <w:color w:val="000000"/>
          <w:sz w:val="22"/>
          <w:szCs w:val="22"/>
        </w:rPr>
        <w:fldChar w:fldCharType="end"/>
      </w:r>
      <w:r w:rsidRPr="00BD4750">
        <w:rPr>
          <w:rFonts w:ascii="Arial" w:hAnsi="Arial" w:cs="Arial"/>
          <w:color w:val="000000"/>
          <w:sz w:val="22"/>
          <w:szCs w:val="22"/>
        </w:rPr>
        <w:t>.</w:t>
      </w:r>
      <w:r w:rsidR="007D6FCF">
        <w:rPr>
          <w:rFonts w:ascii="Arial" w:hAnsi="Arial" w:cs="Arial"/>
          <w:color w:val="000000"/>
          <w:sz w:val="22"/>
          <w:szCs w:val="22"/>
        </w:rPr>
        <w:t xml:space="preserve"> </w:t>
      </w:r>
    </w:p>
    <w:p w14:paraId="691EB859" w14:textId="13033223" w:rsidR="00675EE3" w:rsidRDefault="00B31E98" w:rsidP="004560B8">
      <w:pPr>
        <w:spacing w:line="276" w:lineRule="auto"/>
        <w:rPr>
          <w:rFonts w:ascii="Arial" w:hAnsi="Arial" w:cs="Arial"/>
          <w:color w:val="000000"/>
          <w:sz w:val="22"/>
          <w:szCs w:val="22"/>
        </w:rPr>
      </w:pPr>
      <w:r>
        <w:rPr>
          <w:rFonts w:ascii="Arial" w:hAnsi="Arial" w:cs="Arial"/>
          <w:color w:val="000000"/>
          <w:sz w:val="22"/>
          <w:szCs w:val="22"/>
        </w:rPr>
        <w:lastRenderedPageBreak/>
        <w:t>The e</w:t>
      </w:r>
      <w:r w:rsidR="007D6FCF">
        <w:rPr>
          <w:rFonts w:ascii="Arial" w:hAnsi="Arial" w:cs="Arial"/>
          <w:color w:val="000000"/>
          <w:sz w:val="22"/>
          <w:szCs w:val="22"/>
        </w:rPr>
        <w:t xml:space="preserve">rror in the observed CV values was </w:t>
      </w:r>
      <w:r>
        <w:rPr>
          <w:rFonts w:ascii="Arial" w:hAnsi="Arial" w:cs="Arial"/>
          <w:color w:val="000000"/>
          <w:sz w:val="22"/>
          <w:szCs w:val="22"/>
        </w:rPr>
        <w:t>estimated</w:t>
      </w:r>
      <w:r w:rsidR="007D6FCF">
        <w:rPr>
          <w:rFonts w:ascii="Arial" w:hAnsi="Arial" w:cs="Arial"/>
          <w:color w:val="000000"/>
          <w:sz w:val="22"/>
          <w:szCs w:val="22"/>
        </w:rPr>
        <w:t xml:space="preserve"> </w:t>
      </w:r>
      <w:r>
        <w:rPr>
          <w:rFonts w:ascii="Arial" w:hAnsi="Arial" w:cs="Arial"/>
          <w:color w:val="000000"/>
          <w:sz w:val="22"/>
          <w:szCs w:val="22"/>
        </w:rPr>
        <w:t>as follows</w:t>
      </w:r>
      <w:r w:rsidR="007D6FCF">
        <w:rPr>
          <w:rFonts w:ascii="Arial" w:hAnsi="Arial" w:cs="Arial"/>
          <w:color w:val="000000"/>
          <w:sz w:val="22"/>
          <w:szCs w:val="22"/>
        </w:rPr>
        <w:t>:</w:t>
      </w:r>
    </w:p>
    <w:p w14:paraId="4D8E2CD3" w14:textId="77777777" w:rsidR="007D6FCF" w:rsidRDefault="007D6FCF" w:rsidP="004560B8">
      <w:pPr>
        <w:spacing w:line="276" w:lineRule="auto"/>
        <w:rPr>
          <w:rFonts w:ascii="Arial" w:hAnsi="Arial" w:cs="Arial"/>
          <w:color w:val="000000"/>
          <w:sz w:val="22"/>
          <w:szCs w:val="22"/>
        </w:rPr>
      </w:pPr>
    </w:p>
    <w:p w14:paraId="45A39B62" w14:textId="38CB055B" w:rsidR="007D6FCF" w:rsidRPr="007D6FCF" w:rsidRDefault="00A66D51" w:rsidP="004560B8">
      <w:pPr>
        <w:jc w:val="center"/>
        <w:rPr>
          <w:rFonts w:eastAsiaTheme="minorEastAsia"/>
        </w:rPr>
      </w:pPr>
      <m:oMathPara>
        <m:oMath>
          <m:sSup>
            <m:sSupPr>
              <m:ctrlPr>
                <w:rPr>
                  <w:rFonts w:ascii="Cambria Math" w:eastAsiaTheme="minorHAnsi" w:hAnsi="Cambria Math" w:cstheme="minorBidi"/>
                  <w:i/>
                </w:rPr>
              </m:ctrlPr>
            </m:sSupPr>
            <m:e>
              <m:d>
                <m:dPr>
                  <m:ctrlPr>
                    <w:rPr>
                      <w:rFonts w:ascii="Cambria Math" w:eastAsiaTheme="minorHAnsi" w:hAnsi="Cambria Math" w:cstheme="minorBidi"/>
                      <w:i/>
                    </w:rPr>
                  </m:ctrlPr>
                </m:dPr>
                <m:e>
                  <m:f>
                    <m:fPr>
                      <m:ctrlPr>
                        <w:rPr>
                          <w:rFonts w:ascii="Cambria Math" w:eastAsiaTheme="minorHAnsi" w:hAnsi="Cambria Math" w:cstheme="minorBidi"/>
                          <w:i/>
                        </w:rPr>
                      </m:ctrlPr>
                    </m:fPr>
                    <m:num>
                      <m:r>
                        <w:rPr>
                          <w:rFonts w:ascii="Cambria Math" w:hAnsi="Cambria Math"/>
                        </w:rPr>
                        <m:t>δ</m:t>
                      </m:r>
                      <m:acc>
                        <m:accPr>
                          <m:chr m:val="̅"/>
                          <m:ctrlPr>
                            <w:rPr>
                              <w:rFonts w:ascii="Cambria Math" w:eastAsiaTheme="minorHAnsi" w:hAnsi="Cambria Math" w:cstheme="minorBidi"/>
                              <w:i/>
                            </w:rPr>
                          </m:ctrlPr>
                        </m:accPr>
                        <m:e>
                          <m:r>
                            <w:rPr>
                              <w:rFonts w:ascii="Cambria Math" w:hAnsi="Cambria Math"/>
                            </w:rPr>
                            <m:t>CV</m:t>
                          </m:r>
                        </m:e>
                      </m:acc>
                    </m:num>
                    <m:den>
                      <m:acc>
                        <m:accPr>
                          <m:chr m:val="̅"/>
                          <m:ctrlPr>
                            <w:rPr>
                              <w:rFonts w:ascii="Cambria Math" w:eastAsiaTheme="minorHAnsi" w:hAnsi="Cambria Math" w:cstheme="minorBidi"/>
                              <w:i/>
                            </w:rPr>
                          </m:ctrlPr>
                        </m:accPr>
                        <m:e>
                          <m:r>
                            <w:rPr>
                              <w:rFonts w:ascii="Cambria Math" w:hAnsi="Cambria Math"/>
                            </w:rPr>
                            <m:t>CV</m:t>
                          </m:r>
                        </m:e>
                      </m:acc>
                    </m:den>
                  </m:f>
                </m:e>
              </m:d>
            </m:e>
            <m:sup>
              <m:r>
                <w:rPr>
                  <w:rFonts w:ascii="Cambria Math" w:hAnsi="Cambria Math"/>
                </w:rPr>
                <m:t>2</m:t>
              </m:r>
            </m:sup>
          </m:sSup>
          <m:r>
            <w:rPr>
              <w:rFonts w:ascii="Cambria Math" w:hAnsi="Cambria Math"/>
            </w:rPr>
            <m:t>=</m:t>
          </m:r>
          <m:sSubSup>
            <m:sSubSupPr>
              <m:ctrlPr>
                <w:rPr>
                  <w:rFonts w:ascii="Cambria Math" w:eastAsiaTheme="minorHAnsi" w:hAnsi="Cambria Math" w:cstheme="minorBidi"/>
                  <w:i/>
                </w:rPr>
              </m:ctrlPr>
            </m:sSubSupPr>
            <m:e>
              <m:r>
                <w:rPr>
                  <w:rFonts w:ascii="Cambria Math" w:hAnsi="Cambria Math"/>
                </w:rPr>
                <m:t>σ</m:t>
              </m:r>
            </m:e>
            <m:sub>
              <m:r>
                <w:rPr>
                  <w:rFonts w:ascii="Cambria Math" w:hAnsi="Cambria Math"/>
                </w:rPr>
                <m:t>diff</m:t>
              </m:r>
            </m:sub>
            <m:sup>
              <m:r>
                <w:rPr>
                  <w:rFonts w:ascii="Cambria Math" w:hAnsi="Cambria Math"/>
                </w:rPr>
                <m:t>2</m:t>
              </m:r>
            </m:sup>
          </m:sSubSup>
          <m:d>
            <m:dPr>
              <m:ctrlPr>
                <w:rPr>
                  <w:rFonts w:ascii="Cambria Math" w:eastAsiaTheme="minorHAnsi" w:hAnsi="Cambria Math" w:cstheme="minorBidi"/>
                  <w:i/>
                </w:rPr>
              </m:ctrlPr>
            </m:dPr>
            <m:e>
              <m:f>
                <m:fPr>
                  <m:ctrlPr>
                    <w:rPr>
                      <w:rFonts w:ascii="Cambria Math" w:eastAsiaTheme="minorHAnsi" w:hAnsi="Cambria Math" w:cstheme="minorBidi"/>
                      <w:i/>
                    </w:rPr>
                  </m:ctrlPr>
                </m:fPr>
                <m:num>
                  <m:r>
                    <w:rPr>
                      <w:rFonts w:ascii="Cambria Math" w:hAnsi="Cambria Math"/>
                    </w:rPr>
                    <m:t>1</m:t>
                  </m:r>
                </m:num>
                <m:den>
                  <m:sSubSup>
                    <m:sSubSupPr>
                      <m:ctrlPr>
                        <w:rPr>
                          <w:rFonts w:ascii="Cambria Math" w:eastAsiaTheme="minorHAnsi" w:hAnsi="Cambria Math" w:cstheme="minorBidi"/>
                          <w:i/>
                        </w:rPr>
                      </m:ctrlPr>
                    </m:sSubSupPr>
                    <m:e>
                      <m:r>
                        <w:rPr>
                          <w:rFonts w:ascii="Cambria Math" w:hAnsi="Cambria Math"/>
                        </w:rPr>
                        <m:t>σ</m:t>
                      </m:r>
                    </m:e>
                    <m:sub>
                      <m:r>
                        <w:rPr>
                          <w:rFonts w:ascii="Cambria Math" w:hAnsi="Cambria Math"/>
                        </w:rPr>
                        <m:t>1</m:t>
                      </m:r>
                    </m:sub>
                    <m:sup>
                      <m:r>
                        <w:rPr>
                          <w:rFonts w:ascii="Cambria Math" w:hAnsi="Cambria Math"/>
                        </w:rPr>
                        <m:t>2</m:t>
                      </m:r>
                    </m:sup>
                  </m:sSubSup>
                </m:den>
              </m:f>
              <m:r>
                <w:rPr>
                  <w:rFonts w:ascii="Cambria Math" w:hAnsi="Cambria Math"/>
                </w:rPr>
                <m:t>+</m:t>
              </m:r>
              <m:f>
                <m:fPr>
                  <m:ctrlPr>
                    <w:rPr>
                      <w:rFonts w:ascii="Cambria Math" w:eastAsiaTheme="minorHAnsi" w:hAnsi="Cambria Math" w:cstheme="minorBidi"/>
                      <w:i/>
                    </w:rPr>
                  </m:ctrlPr>
                </m:fPr>
                <m:num>
                  <m:r>
                    <w:rPr>
                      <w:rFonts w:ascii="Cambria Math" w:hAnsi="Cambria Math"/>
                    </w:rPr>
                    <m:t>1</m:t>
                  </m:r>
                </m:num>
                <m:den>
                  <m:sSubSup>
                    <m:sSubSupPr>
                      <m:ctrlPr>
                        <w:rPr>
                          <w:rFonts w:ascii="Cambria Math" w:eastAsiaTheme="minorHAnsi" w:hAnsi="Cambria Math" w:cstheme="minorBidi"/>
                          <w:i/>
                        </w:rPr>
                      </m:ctrlPr>
                    </m:sSubSupPr>
                    <m:e>
                      <m:r>
                        <w:rPr>
                          <w:rFonts w:ascii="Cambria Math" w:hAnsi="Cambria Math"/>
                        </w:rPr>
                        <m:t>σ</m:t>
                      </m:r>
                    </m:e>
                    <m:sub>
                      <m:r>
                        <w:rPr>
                          <w:rFonts w:ascii="Cambria Math" w:hAnsi="Cambria Math"/>
                        </w:rPr>
                        <m:t>2</m:t>
                      </m:r>
                    </m:sub>
                    <m:sup>
                      <m:r>
                        <w:rPr>
                          <w:rFonts w:ascii="Cambria Math" w:hAnsi="Cambria Math"/>
                        </w:rPr>
                        <m:t>2</m:t>
                      </m:r>
                    </m:sup>
                  </m:sSubSup>
                </m:den>
              </m:f>
              <m:r>
                <w:rPr>
                  <w:rFonts w:ascii="Cambria Math" w:hAnsi="Cambria Math"/>
                </w:rPr>
                <m:t>+</m:t>
              </m:r>
              <m:f>
                <m:fPr>
                  <m:ctrlPr>
                    <w:rPr>
                      <w:rFonts w:ascii="Cambria Math" w:eastAsiaTheme="minorHAnsi" w:hAnsi="Cambria Math" w:cstheme="minorBidi"/>
                      <w:i/>
                    </w:rPr>
                  </m:ctrlPr>
                </m:fPr>
                <m:num>
                  <m:r>
                    <w:rPr>
                      <w:rFonts w:ascii="Cambria Math" w:hAnsi="Cambria Math"/>
                    </w:rPr>
                    <m:t>1</m:t>
                  </m:r>
                </m:num>
                <m:den>
                  <m:acc>
                    <m:accPr>
                      <m:chr m:val="̅"/>
                      <m:ctrlPr>
                        <w:rPr>
                          <w:rFonts w:ascii="Cambria Math" w:eastAsiaTheme="minorHAnsi" w:hAnsi="Cambria Math" w:cstheme="minorBidi"/>
                          <w:i/>
                        </w:rPr>
                      </m:ctrlPr>
                    </m:accPr>
                    <m:e>
                      <m:sSubSup>
                        <m:sSubSupPr>
                          <m:ctrlPr>
                            <w:rPr>
                              <w:rFonts w:ascii="Cambria Math" w:eastAsiaTheme="minorHAnsi" w:hAnsi="Cambria Math" w:cstheme="minorBidi"/>
                              <w:i/>
                            </w:rPr>
                          </m:ctrlPr>
                        </m:sSubSupPr>
                        <m:e>
                          <m:r>
                            <w:rPr>
                              <w:rFonts w:ascii="Cambria Math" w:hAnsi="Cambria Math"/>
                            </w:rPr>
                            <m:t>I</m:t>
                          </m:r>
                        </m:e>
                        <m:sub>
                          <m:r>
                            <w:rPr>
                              <w:rFonts w:ascii="Cambria Math" w:hAnsi="Cambria Math"/>
                            </w:rPr>
                            <m:t>1</m:t>
                          </m:r>
                        </m:sub>
                        <m:sup>
                          <m:r>
                            <w:rPr>
                              <w:rFonts w:ascii="Cambria Math" w:hAnsi="Cambria Math"/>
                            </w:rPr>
                            <m:t>2</m:t>
                          </m:r>
                        </m:sup>
                      </m:sSubSup>
                    </m:e>
                  </m:acc>
                </m:den>
              </m:f>
              <m:r>
                <w:rPr>
                  <w:rFonts w:ascii="Cambria Math" w:hAnsi="Cambria Math"/>
                </w:rPr>
                <m:t>+</m:t>
              </m:r>
              <m:f>
                <m:fPr>
                  <m:ctrlPr>
                    <w:rPr>
                      <w:rFonts w:ascii="Cambria Math" w:eastAsiaTheme="minorHAnsi" w:hAnsi="Cambria Math" w:cstheme="minorBidi"/>
                      <w:i/>
                    </w:rPr>
                  </m:ctrlPr>
                </m:fPr>
                <m:num>
                  <m:r>
                    <w:rPr>
                      <w:rFonts w:ascii="Cambria Math" w:hAnsi="Cambria Math"/>
                    </w:rPr>
                    <m:t>1</m:t>
                  </m:r>
                </m:num>
                <m:den>
                  <m:acc>
                    <m:accPr>
                      <m:chr m:val="̅"/>
                      <m:ctrlPr>
                        <w:rPr>
                          <w:rFonts w:ascii="Cambria Math" w:eastAsiaTheme="minorHAnsi" w:hAnsi="Cambria Math" w:cstheme="minorBidi"/>
                          <w:i/>
                        </w:rPr>
                      </m:ctrlPr>
                    </m:accPr>
                    <m:e>
                      <m:sSubSup>
                        <m:sSubSupPr>
                          <m:ctrlPr>
                            <w:rPr>
                              <w:rFonts w:ascii="Cambria Math" w:eastAsiaTheme="minorHAnsi" w:hAnsi="Cambria Math" w:cstheme="minorBidi"/>
                              <w:i/>
                            </w:rPr>
                          </m:ctrlPr>
                        </m:sSubSupPr>
                        <m:e>
                          <m:r>
                            <w:rPr>
                              <w:rFonts w:ascii="Cambria Math" w:hAnsi="Cambria Math"/>
                            </w:rPr>
                            <m:t>I</m:t>
                          </m:r>
                        </m:e>
                        <m:sub>
                          <m:r>
                            <w:rPr>
                              <w:rFonts w:ascii="Cambria Math" w:hAnsi="Cambria Math"/>
                            </w:rPr>
                            <m:t>2</m:t>
                          </m:r>
                        </m:sub>
                        <m:sup>
                          <m:r>
                            <w:rPr>
                              <w:rFonts w:ascii="Cambria Math" w:hAnsi="Cambria Math"/>
                            </w:rPr>
                            <m:t>2</m:t>
                          </m:r>
                        </m:sup>
                      </m:sSubSup>
                    </m:e>
                  </m:acc>
                </m:den>
              </m:f>
            </m:e>
          </m:d>
        </m:oMath>
      </m:oMathPara>
    </w:p>
    <w:p w14:paraId="56D5DB2F" w14:textId="117D4142" w:rsidR="0090550D" w:rsidRDefault="00B31E98" w:rsidP="007E02C1">
      <w:pPr>
        <w:rPr>
          <w:rFonts w:ascii="Arial" w:eastAsiaTheme="minorEastAsia" w:hAnsi="Arial" w:cs="Arial"/>
          <w:sz w:val="22"/>
          <w:szCs w:val="22"/>
        </w:rPr>
      </w:pPr>
      <w:r>
        <w:rPr>
          <w:rFonts w:eastAsiaTheme="minorEastAsia"/>
          <w:sz w:val="22"/>
          <w:szCs w:val="22"/>
        </w:rPr>
        <w:br/>
      </w:r>
      <m:oMath>
        <m:r>
          <w:rPr>
            <w:rFonts w:ascii="Cambria Math" w:hAnsi="Cambria Math" w:cs="Arial"/>
            <w:sz w:val="22"/>
            <w:szCs w:val="22"/>
          </w:rPr>
          <m:t>δ</m:t>
        </m:r>
        <m:acc>
          <m:accPr>
            <m:chr m:val="̅"/>
            <m:ctrlPr>
              <w:rPr>
                <w:rFonts w:ascii="Cambria Math" w:eastAsiaTheme="minorHAnsi" w:hAnsi="Cambria Math" w:cs="Arial"/>
                <w:i/>
                <w:sz w:val="22"/>
                <w:szCs w:val="22"/>
              </w:rPr>
            </m:ctrlPr>
          </m:accPr>
          <m:e>
            <m:r>
              <w:rPr>
                <w:rFonts w:ascii="Cambria Math" w:hAnsi="Cambria Math" w:cs="Arial"/>
                <w:sz w:val="22"/>
                <w:szCs w:val="22"/>
              </w:rPr>
              <m:t>CV</m:t>
            </m:r>
          </m:e>
        </m:acc>
      </m:oMath>
      <w:r w:rsidR="00B35DFB" w:rsidRPr="00307035">
        <w:rPr>
          <w:rFonts w:ascii="Arial" w:eastAsiaTheme="minorEastAsia" w:hAnsi="Arial" w:cs="Arial"/>
          <w:sz w:val="22"/>
          <w:szCs w:val="22"/>
        </w:rPr>
        <w:t xml:space="preserve"> is the error in the </w:t>
      </w:r>
      <w:r>
        <w:rPr>
          <w:rFonts w:ascii="Arial" w:eastAsiaTheme="minorEastAsia" w:hAnsi="Arial" w:cs="Arial"/>
          <w:sz w:val="22"/>
          <w:szCs w:val="22"/>
        </w:rPr>
        <w:t xml:space="preserve">reported </w:t>
      </w:r>
      <w:r w:rsidR="00B35DFB" w:rsidRPr="00307035">
        <w:rPr>
          <w:rFonts w:ascii="Arial" w:eastAsiaTheme="minorEastAsia" w:hAnsi="Arial" w:cs="Arial"/>
          <w:sz w:val="22"/>
          <w:szCs w:val="22"/>
        </w:rPr>
        <w:t>CV values</w:t>
      </w:r>
      <m:oMath>
        <m:r>
          <w:rPr>
            <w:rFonts w:ascii="Cambria Math" w:eastAsiaTheme="minorEastAsia" w:hAnsi="Cambria Math" w:cs="Arial"/>
            <w:sz w:val="22"/>
            <w:szCs w:val="22"/>
          </w:rPr>
          <m:t xml:space="preserve">, </m:t>
        </m:r>
        <m:acc>
          <m:accPr>
            <m:chr m:val="̅"/>
            <m:ctrlPr>
              <w:rPr>
                <w:rFonts w:ascii="Cambria Math" w:eastAsiaTheme="minorHAnsi" w:hAnsi="Cambria Math" w:cs="Arial"/>
                <w:i/>
                <w:sz w:val="22"/>
                <w:szCs w:val="22"/>
              </w:rPr>
            </m:ctrlPr>
          </m:accPr>
          <m:e>
            <m:r>
              <w:rPr>
                <w:rFonts w:ascii="Cambria Math" w:hAnsi="Cambria Math" w:cs="Arial"/>
                <w:sz w:val="22"/>
                <w:szCs w:val="22"/>
              </w:rPr>
              <m:t>CV</m:t>
            </m:r>
          </m:e>
        </m:acc>
      </m:oMath>
      <w:r>
        <w:rPr>
          <w:rFonts w:ascii="Arial" w:eastAsiaTheme="minorEastAsia" w:hAnsi="Arial" w:cs="Arial"/>
          <w:sz w:val="22"/>
          <w:szCs w:val="22"/>
        </w:rPr>
        <w:t>,</w:t>
      </w:r>
      <w:r w:rsidRPr="00307035">
        <w:rPr>
          <w:rFonts w:ascii="Arial" w:eastAsiaTheme="minorEastAsia" w:hAnsi="Arial" w:cs="Arial"/>
          <w:sz w:val="22"/>
          <w:szCs w:val="22"/>
        </w:rPr>
        <w:t xml:space="preserve"> which are averages of the CV values calculated from intensity distribution of the first and last frames of each video</w:t>
      </w:r>
      <w:r w:rsidR="00B35DFB" w:rsidRPr="00307035">
        <w:rPr>
          <w:rFonts w:ascii="Arial" w:eastAsiaTheme="minorEastAsia" w:hAnsi="Arial" w:cs="Arial"/>
          <w:sz w:val="22"/>
          <w:szCs w:val="22"/>
        </w:rPr>
        <w:t xml:space="preserve">. </w:t>
      </w:r>
      <m:oMath>
        <m:sSub>
          <m:sSubPr>
            <m:ctrlPr>
              <w:rPr>
                <w:rFonts w:ascii="Cambria Math" w:eastAsiaTheme="minorHAnsi" w:hAnsi="Cambria Math" w:cs="Arial"/>
                <w:i/>
                <w:sz w:val="22"/>
                <w:szCs w:val="22"/>
              </w:rPr>
            </m:ctrlPr>
          </m:sSubPr>
          <m:e>
            <m:r>
              <w:rPr>
                <w:rFonts w:ascii="Cambria Math" w:hAnsi="Cambria Math" w:cs="Arial"/>
                <w:sz w:val="22"/>
                <w:szCs w:val="22"/>
              </w:rPr>
              <m:t>σ</m:t>
            </m:r>
          </m:e>
          <m:sub>
            <m:r>
              <w:rPr>
                <w:rFonts w:ascii="Cambria Math" w:hAnsi="Cambria Math" w:cs="Arial"/>
                <w:sz w:val="22"/>
                <w:szCs w:val="22"/>
              </w:rPr>
              <m:t>diff</m:t>
            </m:r>
          </m:sub>
        </m:sSub>
      </m:oMath>
      <w:r w:rsidR="007D6FCF" w:rsidRPr="00307035">
        <w:rPr>
          <w:rFonts w:ascii="Arial" w:eastAsiaTheme="minorEastAsia" w:hAnsi="Arial" w:cs="Arial"/>
          <w:sz w:val="22"/>
          <w:szCs w:val="22"/>
        </w:rPr>
        <w:t xml:space="preserve">  refers to the standard deviation of the difference image obtained by subtracting the intensity values of the last frame from the firs</w:t>
      </w:r>
      <w:r w:rsidR="00073945" w:rsidRPr="00307035">
        <w:rPr>
          <w:rFonts w:ascii="Arial" w:eastAsiaTheme="minorEastAsia" w:hAnsi="Arial" w:cs="Arial"/>
          <w:sz w:val="22"/>
          <w:szCs w:val="22"/>
        </w:rPr>
        <w:t>t</w:t>
      </w:r>
      <w:r w:rsidR="00C43B63" w:rsidRPr="00307035">
        <w:rPr>
          <w:rFonts w:ascii="Arial" w:eastAsiaTheme="minorEastAsia" w:hAnsi="Arial" w:cs="Arial"/>
          <w:sz w:val="22"/>
          <w:szCs w:val="22"/>
        </w:rPr>
        <w:t xml:space="preserve">, and </w:t>
      </w:r>
      <w:r w:rsidR="007D6FCF" w:rsidRPr="00307035">
        <w:rPr>
          <w:rFonts w:ascii="Arial" w:eastAsiaTheme="minorEastAsia" w:hAnsi="Arial" w:cs="Arial"/>
          <w:sz w:val="22"/>
          <w:szCs w:val="22"/>
        </w:rPr>
        <w:t xml:space="preserve"> </w:t>
      </w:r>
      <m:oMath>
        <m:acc>
          <m:accPr>
            <m:chr m:val="̅"/>
            <m:ctrlPr>
              <w:rPr>
                <w:rFonts w:ascii="Cambria Math" w:eastAsiaTheme="minorHAnsi" w:hAnsi="Cambria Math" w:cs="Arial"/>
                <w:i/>
                <w:sz w:val="22"/>
                <w:szCs w:val="22"/>
              </w:rPr>
            </m:ctrlPr>
          </m:accPr>
          <m:e>
            <m:sSub>
              <m:sSubPr>
                <m:ctrlPr>
                  <w:rPr>
                    <w:rFonts w:ascii="Cambria Math" w:eastAsiaTheme="minorHAnsi" w:hAnsi="Cambria Math" w:cs="Arial"/>
                    <w:i/>
                    <w:sz w:val="22"/>
                    <w:szCs w:val="22"/>
                  </w:rPr>
                </m:ctrlPr>
              </m:sSubPr>
              <m:e>
                <m:r>
                  <w:rPr>
                    <w:rFonts w:ascii="Cambria Math" w:hAnsi="Cambria Math" w:cs="Arial"/>
                    <w:sz w:val="22"/>
                    <w:szCs w:val="22"/>
                  </w:rPr>
                  <m:t>I</m:t>
                </m:r>
              </m:e>
              <m:sub>
                <m:r>
                  <w:rPr>
                    <w:rFonts w:ascii="Cambria Math" w:hAnsi="Cambria Math" w:cs="Arial"/>
                    <w:sz w:val="22"/>
                    <w:szCs w:val="22"/>
                  </w:rPr>
                  <m:t>i</m:t>
                </m:r>
              </m:sub>
            </m:sSub>
          </m:e>
        </m:acc>
      </m:oMath>
      <w:r w:rsidR="00A46870" w:rsidRPr="00307035">
        <w:rPr>
          <w:rFonts w:ascii="Arial" w:eastAsiaTheme="minorEastAsia" w:hAnsi="Arial" w:cs="Arial"/>
          <w:sz w:val="22"/>
          <w:szCs w:val="22"/>
        </w:rPr>
        <w:t xml:space="preserve"> and </w:t>
      </w:r>
      <m:oMath>
        <m:sSub>
          <m:sSubPr>
            <m:ctrlPr>
              <w:rPr>
                <w:rFonts w:ascii="Cambria Math" w:eastAsiaTheme="minorHAnsi" w:hAnsi="Cambria Math" w:cs="Arial"/>
                <w:i/>
                <w:sz w:val="22"/>
                <w:szCs w:val="22"/>
              </w:rPr>
            </m:ctrlPr>
          </m:sSubPr>
          <m:e>
            <m:r>
              <w:rPr>
                <w:rFonts w:ascii="Cambria Math" w:hAnsi="Cambria Math" w:cs="Arial"/>
                <w:sz w:val="22"/>
                <w:szCs w:val="22"/>
              </w:rPr>
              <m:t>σ</m:t>
            </m:r>
          </m:e>
          <m:sub>
            <m:r>
              <w:rPr>
                <w:rFonts w:ascii="Cambria Math" w:hAnsi="Cambria Math" w:cs="Arial"/>
                <w:sz w:val="22"/>
                <w:szCs w:val="22"/>
              </w:rPr>
              <m:t>i</m:t>
            </m:r>
          </m:sub>
        </m:sSub>
      </m:oMath>
      <w:r w:rsidR="00A46870" w:rsidRPr="00307035">
        <w:rPr>
          <w:rFonts w:ascii="Arial" w:eastAsiaTheme="minorEastAsia" w:hAnsi="Arial" w:cs="Arial"/>
          <w:sz w:val="22"/>
          <w:szCs w:val="22"/>
        </w:rPr>
        <w:t xml:space="preserve"> refer to the mean and standard deviation in intensity values of a single frame. </w:t>
      </w:r>
    </w:p>
    <w:p w14:paraId="0D3D2E50" w14:textId="7F26626A" w:rsidR="007E02C1" w:rsidRDefault="007E02C1" w:rsidP="007E02C1">
      <w:pPr>
        <w:rPr>
          <w:rFonts w:ascii="Arial" w:eastAsiaTheme="minorEastAsia" w:hAnsi="Arial" w:cs="Arial"/>
          <w:sz w:val="22"/>
          <w:szCs w:val="22"/>
        </w:rPr>
      </w:pPr>
    </w:p>
    <w:p w14:paraId="7E9A74EA" w14:textId="06843151" w:rsidR="007E02C1" w:rsidRDefault="007E02C1" w:rsidP="007E02C1">
      <w:pPr>
        <w:rPr>
          <w:rFonts w:ascii="Arial" w:eastAsiaTheme="minorEastAsia" w:hAnsi="Arial" w:cs="Arial"/>
          <w:sz w:val="22"/>
          <w:szCs w:val="22"/>
        </w:rPr>
      </w:pPr>
    </w:p>
    <w:p w14:paraId="1864B117" w14:textId="69EA8FD4" w:rsidR="007E02C1" w:rsidRDefault="007E02C1" w:rsidP="007E02C1">
      <w:pPr>
        <w:rPr>
          <w:rFonts w:ascii="Arial" w:eastAsiaTheme="minorEastAsia" w:hAnsi="Arial" w:cs="Arial"/>
          <w:sz w:val="22"/>
          <w:szCs w:val="22"/>
        </w:rPr>
      </w:pPr>
    </w:p>
    <w:p w14:paraId="669C9500" w14:textId="200D0ACD" w:rsidR="007E02C1" w:rsidRDefault="007E02C1" w:rsidP="007E02C1">
      <w:pPr>
        <w:rPr>
          <w:rFonts w:ascii="Arial" w:eastAsiaTheme="minorEastAsia" w:hAnsi="Arial" w:cs="Arial"/>
          <w:sz w:val="22"/>
          <w:szCs w:val="22"/>
        </w:rPr>
      </w:pPr>
    </w:p>
    <w:p w14:paraId="2F64203B" w14:textId="2F355565" w:rsidR="007E02C1" w:rsidRDefault="007E02C1" w:rsidP="007E02C1">
      <w:pPr>
        <w:rPr>
          <w:rFonts w:ascii="Arial" w:eastAsiaTheme="minorEastAsia" w:hAnsi="Arial" w:cs="Arial"/>
          <w:sz w:val="22"/>
          <w:szCs w:val="22"/>
        </w:rPr>
      </w:pPr>
    </w:p>
    <w:p w14:paraId="2C19D4FD" w14:textId="760CCAD1" w:rsidR="007E02C1" w:rsidRDefault="007E02C1" w:rsidP="007E02C1">
      <w:pPr>
        <w:rPr>
          <w:rFonts w:ascii="Arial" w:eastAsiaTheme="minorEastAsia" w:hAnsi="Arial" w:cs="Arial"/>
          <w:sz w:val="22"/>
          <w:szCs w:val="22"/>
        </w:rPr>
      </w:pPr>
    </w:p>
    <w:p w14:paraId="63CDBD1E" w14:textId="66DD1837" w:rsidR="007E02C1" w:rsidRDefault="007E02C1" w:rsidP="007E02C1">
      <w:pPr>
        <w:rPr>
          <w:rFonts w:ascii="Arial" w:eastAsiaTheme="minorEastAsia" w:hAnsi="Arial" w:cs="Arial"/>
          <w:sz w:val="22"/>
          <w:szCs w:val="22"/>
        </w:rPr>
      </w:pPr>
    </w:p>
    <w:p w14:paraId="4AF6DA89" w14:textId="77777777" w:rsidR="007E02C1" w:rsidRDefault="007E02C1" w:rsidP="007E02C1">
      <w:pPr>
        <w:rPr>
          <w:rFonts w:ascii="Arial" w:hAnsi="Arial" w:cs="Arial"/>
          <w:b/>
          <w:bCs/>
          <w:color w:val="000000"/>
          <w:sz w:val="22"/>
          <w:szCs w:val="22"/>
        </w:rPr>
      </w:pPr>
    </w:p>
    <w:p w14:paraId="0098BB7E" w14:textId="77C189F1" w:rsidR="00675EE3" w:rsidRPr="00BE3D09" w:rsidRDefault="00675EE3" w:rsidP="004560B8">
      <w:pPr>
        <w:pStyle w:val="NormalWeb"/>
        <w:spacing w:before="0" w:beforeAutospacing="0" w:after="0" w:afterAutospacing="0"/>
        <w:rPr>
          <w:rFonts w:ascii="Arial" w:hAnsi="Arial" w:cs="Arial"/>
          <w:b/>
          <w:bCs/>
          <w:color w:val="000000"/>
          <w:sz w:val="22"/>
          <w:szCs w:val="22"/>
        </w:rPr>
      </w:pPr>
      <w:r w:rsidRPr="00BE3D09">
        <w:rPr>
          <w:rFonts w:ascii="Arial" w:hAnsi="Arial" w:cs="Arial"/>
          <w:b/>
          <w:bCs/>
          <w:color w:val="000000"/>
          <w:sz w:val="22"/>
          <w:szCs w:val="22"/>
        </w:rPr>
        <w:t>References (Supplementary Material)</w:t>
      </w:r>
    </w:p>
    <w:p w14:paraId="2192822F" w14:textId="77777777" w:rsidR="00300503" w:rsidRPr="009C745E" w:rsidRDefault="00300503" w:rsidP="009C745E">
      <w:pPr>
        <w:spacing w:after="120"/>
        <w:rPr>
          <w:rFonts w:ascii="Arial" w:hAnsi="Arial" w:cs="Arial"/>
          <w:sz w:val="22"/>
          <w:szCs w:val="22"/>
        </w:rPr>
      </w:pPr>
    </w:p>
    <w:p w14:paraId="690D0DC8" w14:textId="77777777" w:rsidR="000D11C8" w:rsidRPr="007E02C1" w:rsidRDefault="00300503" w:rsidP="007E02C1">
      <w:pPr>
        <w:pStyle w:val="EndNoteBibliography"/>
        <w:spacing w:after="120"/>
        <w:ind w:left="720" w:hanging="720"/>
        <w:rPr>
          <w:rFonts w:ascii="Arial" w:hAnsi="Arial" w:cs="Arial"/>
          <w:sz w:val="22"/>
          <w:szCs w:val="22"/>
        </w:rPr>
      </w:pPr>
      <w:r w:rsidRPr="007E02C1">
        <w:rPr>
          <w:rFonts w:ascii="Arial" w:hAnsi="Arial" w:cs="Arial"/>
          <w:sz w:val="22"/>
          <w:szCs w:val="22"/>
        </w:rPr>
        <w:fldChar w:fldCharType="begin"/>
      </w:r>
      <w:r w:rsidRPr="007E02C1">
        <w:rPr>
          <w:rFonts w:ascii="Arial" w:hAnsi="Arial" w:cs="Arial"/>
          <w:sz w:val="22"/>
          <w:szCs w:val="22"/>
        </w:rPr>
        <w:instrText xml:space="preserve"> ADDIN EN.REFLIST </w:instrText>
      </w:r>
      <w:r w:rsidRPr="007E02C1">
        <w:rPr>
          <w:rFonts w:ascii="Arial" w:hAnsi="Arial" w:cs="Arial"/>
          <w:sz w:val="22"/>
          <w:szCs w:val="22"/>
        </w:rPr>
        <w:fldChar w:fldCharType="separate"/>
      </w:r>
      <w:r w:rsidR="000D11C8" w:rsidRPr="007E02C1">
        <w:rPr>
          <w:rFonts w:ascii="Arial" w:hAnsi="Arial" w:cs="Arial"/>
          <w:sz w:val="22"/>
          <w:szCs w:val="22"/>
        </w:rPr>
        <w:t>1.</w:t>
      </w:r>
      <w:r w:rsidR="000D11C8" w:rsidRPr="007E02C1">
        <w:rPr>
          <w:rFonts w:ascii="Arial" w:hAnsi="Arial" w:cs="Arial"/>
          <w:sz w:val="22"/>
          <w:szCs w:val="22"/>
        </w:rPr>
        <w:tab/>
        <w:t>Razavi Bazaz S, Kashaninejad N, Azadi S</w:t>
      </w:r>
      <w:r w:rsidR="000D11C8" w:rsidRPr="007E02C1">
        <w:rPr>
          <w:rFonts w:ascii="Arial" w:hAnsi="Arial" w:cs="Arial"/>
          <w:i/>
          <w:sz w:val="22"/>
          <w:szCs w:val="22"/>
        </w:rPr>
        <w:t xml:space="preserve"> et al.</w:t>
      </w:r>
      <w:r w:rsidR="000D11C8" w:rsidRPr="007E02C1">
        <w:rPr>
          <w:rFonts w:ascii="Arial" w:hAnsi="Arial" w:cs="Arial"/>
          <w:sz w:val="22"/>
          <w:szCs w:val="22"/>
        </w:rPr>
        <w:t xml:space="preserve"> Rapid Softlithography Using 3D-Printed Molds. </w:t>
      </w:r>
      <w:r w:rsidR="000D11C8" w:rsidRPr="007E02C1">
        <w:rPr>
          <w:rFonts w:ascii="Arial" w:hAnsi="Arial" w:cs="Arial"/>
          <w:i/>
          <w:sz w:val="22"/>
          <w:szCs w:val="22"/>
        </w:rPr>
        <w:t>Advanced Materials Technologies</w:t>
      </w:r>
      <w:r w:rsidR="000D11C8" w:rsidRPr="007E02C1">
        <w:rPr>
          <w:rFonts w:ascii="Arial" w:hAnsi="Arial" w:cs="Arial"/>
          <w:sz w:val="22"/>
          <w:szCs w:val="22"/>
        </w:rPr>
        <w:t>, 4(10), 1900425 (2019).</w:t>
      </w:r>
    </w:p>
    <w:p w14:paraId="766BE7EE" w14:textId="77777777" w:rsidR="000D11C8" w:rsidRPr="007E02C1" w:rsidRDefault="000D11C8" w:rsidP="007E02C1">
      <w:pPr>
        <w:pStyle w:val="EndNoteBibliography"/>
        <w:spacing w:after="120"/>
        <w:ind w:left="720" w:hanging="720"/>
        <w:rPr>
          <w:rFonts w:ascii="Arial" w:hAnsi="Arial" w:cs="Arial"/>
          <w:sz w:val="22"/>
          <w:szCs w:val="22"/>
        </w:rPr>
      </w:pPr>
      <w:r w:rsidRPr="007E02C1">
        <w:rPr>
          <w:rFonts w:ascii="Arial" w:hAnsi="Arial" w:cs="Arial"/>
          <w:sz w:val="22"/>
          <w:szCs w:val="22"/>
        </w:rPr>
        <w:t>2.</w:t>
      </w:r>
      <w:r w:rsidRPr="007E02C1">
        <w:rPr>
          <w:rFonts w:ascii="Arial" w:hAnsi="Arial" w:cs="Arial"/>
          <w:sz w:val="22"/>
          <w:szCs w:val="22"/>
        </w:rPr>
        <w:tab/>
        <w:t xml:space="preserve">Qin D, Xia Y, Whitesides GM. Soft lithography for micro- and nanoscale patterning. </w:t>
      </w:r>
      <w:r w:rsidRPr="007E02C1">
        <w:rPr>
          <w:rFonts w:ascii="Arial" w:hAnsi="Arial" w:cs="Arial"/>
          <w:i/>
          <w:sz w:val="22"/>
          <w:szCs w:val="22"/>
        </w:rPr>
        <w:t>Nature Protocols</w:t>
      </w:r>
      <w:r w:rsidRPr="007E02C1">
        <w:rPr>
          <w:rFonts w:ascii="Arial" w:hAnsi="Arial" w:cs="Arial"/>
          <w:sz w:val="22"/>
          <w:szCs w:val="22"/>
        </w:rPr>
        <w:t>, 5(3), 491-502 (2010).</w:t>
      </w:r>
    </w:p>
    <w:p w14:paraId="3292A9A9" w14:textId="77777777" w:rsidR="000D11C8" w:rsidRPr="007E02C1" w:rsidRDefault="000D11C8" w:rsidP="007E02C1">
      <w:pPr>
        <w:pStyle w:val="EndNoteBibliography"/>
        <w:spacing w:after="120"/>
        <w:ind w:left="720" w:hanging="720"/>
        <w:rPr>
          <w:rFonts w:ascii="Arial" w:hAnsi="Arial" w:cs="Arial"/>
          <w:sz w:val="22"/>
          <w:szCs w:val="22"/>
        </w:rPr>
      </w:pPr>
      <w:r w:rsidRPr="007E02C1">
        <w:rPr>
          <w:rFonts w:ascii="Arial" w:hAnsi="Arial" w:cs="Arial"/>
          <w:sz w:val="22"/>
          <w:szCs w:val="22"/>
        </w:rPr>
        <w:t>3.</w:t>
      </w:r>
      <w:r w:rsidRPr="007E02C1">
        <w:rPr>
          <w:rFonts w:ascii="Arial" w:hAnsi="Arial" w:cs="Arial"/>
          <w:sz w:val="22"/>
          <w:szCs w:val="22"/>
        </w:rPr>
        <w:tab/>
        <w:t xml:space="preserve">Kockmann N, Engler M, Haller D, Woias P. Fluid Dynamics and Transfer Processes in Bended Microchannels. </w:t>
      </w:r>
      <w:r w:rsidRPr="007E02C1">
        <w:rPr>
          <w:rFonts w:ascii="Arial" w:hAnsi="Arial" w:cs="Arial"/>
          <w:i/>
          <w:sz w:val="22"/>
          <w:szCs w:val="22"/>
        </w:rPr>
        <w:t>Heat Transfer Engineering</w:t>
      </w:r>
      <w:r w:rsidRPr="007E02C1">
        <w:rPr>
          <w:rFonts w:ascii="Arial" w:hAnsi="Arial" w:cs="Arial"/>
          <w:sz w:val="22"/>
          <w:szCs w:val="22"/>
        </w:rPr>
        <w:t>, 26(3), 71-78 (2005).</w:t>
      </w:r>
    </w:p>
    <w:p w14:paraId="78A1B6CE" w14:textId="77777777" w:rsidR="000D11C8" w:rsidRPr="007E02C1" w:rsidRDefault="000D11C8" w:rsidP="007E02C1">
      <w:pPr>
        <w:pStyle w:val="EndNoteBibliography"/>
        <w:spacing w:after="120"/>
        <w:ind w:left="720" w:hanging="720"/>
        <w:rPr>
          <w:rFonts w:ascii="Arial" w:hAnsi="Arial" w:cs="Arial"/>
          <w:sz w:val="22"/>
          <w:szCs w:val="22"/>
        </w:rPr>
      </w:pPr>
      <w:r w:rsidRPr="007E02C1">
        <w:rPr>
          <w:rFonts w:ascii="Arial" w:hAnsi="Arial" w:cs="Arial"/>
          <w:sz w:val="22"/>
          <w:szCs w:val="22"/>
        </w:rPr>
        <w:t>4.</w:t>
      </w:r>
      <w:r w:rsidRPr="007E02C1">
        <w:rPr>
          <w:rFonts w:ascii="Arial" w:hAnsi="Arial" w:cs="Arial"/>
          <w:sz w:val="22"/>
          <w:szCs w:val="22"/>
        </w:rPr>
        <w:tab/>
        <w:t xml:space="preserve">Williams MS, Longmuir KJ, Yager P. A practical guide to the staggered herringbone mixer. </w:t>
      </w:r>
      <w:r w:rsidRPr="007E02C1">
        <w:rPr>
          <w:rFonts w:ascii="Arial" w:hAnsi="Arial" w:cs="Arial"/>
          <w:i/>
          <w:sz w:val="22"/>
          <w:szCs w:val="22"/>
        </w:rPr>
        <w:t>Lab on a Chip</w:t>
      </w:r>
      <w:r w:rsidRPr="007E02C1">
        <w:rPr>
          <w:rFonts w:ascii="Arial" w:hAnsi="Arial" w:cs="Arial"/>
          <w:sz w:val="22"/>
          <w:szCs w:val="22"/>
        </w:rPr>
        <w:t>, 8(7), 1121-1129 (2008).</w:t>
      </w:r>
    </w:p>
    <w:p w14:paraId="53B29C2D" w14:textId="34714646" w:rsidR="00BE3D09" w:rsidRDefault="00300503" w:rsidP="007E02C1">
      <w:pPr>
        <w:spacing w:after="120"/>
        <w:rPr>
          <w:rFonts w:ascii="Arial" w:hAnsi="Arial" w:cs="Arial"/>
          <w:sz w:val="22"/>
          <w:szCs w:val="22"/>
        </w:rPr>
      </w:pPr>
      <w:r w:rsidRPr="007E02C1">
        <w:rPr>
          <w:rFonts w:ascii="Arial" w:hAnsi="Arial" w:cs="Arial"/>
          <w:sz w:val="22"/>
          <w:szCs w:val="22"/>
        </w:rPr>
        <w:fldChar w:fldCharType="end"/>
      </w:r>
      <w:bookmarkStart w:id="0" w:name="_GoBack"/>
      <w:bookmarkEnd w:id="0"/>
    </w:p>
    <w:sectPr w:rsidR="00BE3D09" w:rsidSect="00012081">
      <w:foot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76FB" w16cex:dateUtc="2021-03-04T0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D05BFD" w16cid:durableId="23EA76F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4D835" w14:textId="77777777" w:rsidR="00A66D51" w:rsidRDefault="00A66D51" w:rsidP="002351A3">
      <w:r>
        <w:separator/>
      </w:r>
    </w:p>
  </w:endnote>
  <w:endnote w:type="continuationSeparator" w:id="0">
    <w:p w14:paraId="30A74715" w14:textId="77777777" w:rsidR="00A66D51" w:rsidRDefault="00A66D51" w:rsidP="0023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081059719"/>
      <w:docPartObj>
        <w:docPartGallery w:val="Page Numbers (Bottom of Page)"/>
        <w:docPartUnique/>
      </w:docPartObj>
    </w:sdtPr>
    <w:sdtEndPr>
      <w:rPr>
        <w:rFonts w:ascii="Arial" w:hAnsi="Arial" w:cs="Arial"/>
        <w:noProof/>
      </w:rPr>
    </w:sdtEndPr>
    <w:sdtContent>
      <w:p w14:paraId="5624C962" w14:textId="1D541A0E" w:rsidR="002351A3" w:rsidRPr="002351A3" w:rsidRDefault="002351A3">
        <w:pPr>
          <w:pStyle w:val="Footer"/>
          <w:jc w:val="center"/>
          <w:rPr>
            <w:rFonts w:ascii="Arial" w:hAnsi="Arial" w:cs="Arial"/>
            <w:sz w:val="22"/>
            <w:szCs w:val="22"/>
          </w:rPr>
        </w:pPr>
        <w:r w:rsidRPr="002351A3">
          <w:rPr>
            <w:rFonts w:ascii="Arial" w:hAnsi="Arial" w:cs="Arial"/>
            <w:sz w:val="22"/>
            <w:szCs w:val="22"/>
          </w:rPr>
          <w:fldChar w:fldCharType="begin"/>
        </w:r>
        <w:r w:rsidRPr="002351A3">
          <w:rPr>
            <w:rFonts w:ascii="Arial" w:hAnsi="Arial" w:cs="Arial"/>
            <w:sz w:val="22"/>
            <w:szCs w:val="22"/>
          </w:rPr>
          <w:instrText xml:space="preserve"> PAGE   \* MERGEFORMAT </w:instrText>
        </w:r>
        <w:r w:rsidRPr="002351A3">
          <w:rPr>
            <w:rFonts w:ascii="Arial" w:hAnsi="Arial" w:cs="Arial"/>
            <w:sz w:val="22"/>
            <w:szCs w:val="22"/>
          </w:rPr>
          <w:fldChar w:fldCharType="separate"/>
        </w:r>
        <w:r>
          <w:rPr>
            <w:rFonts w:ascii="Arial" w:hAnsi="Arial" w:cs="Arial"/>
            <w:noProof/>
            <w:sz w:val="22"/>
            <w:szCs w:val="22"/>
          </w:rPr>
          <w:t>3</w:t>
        </w:r>
        <w:r w:rsidRPr="002351A3">
          <w:rPr>
            <w:rFonts w:ascii="Arial" w:hAnsi="Arial" w:cs="Arial"/>
            <w:noProof/>
            <w:sz w:val="22"/>
            <w:szCs w:val="22"/>
          </w:rPr>
          <w:fldChar w:fldCharType="end"/>
        </w:r>
      </w:p>
    </w:sdtContent>
  </w:sdt>
  <w:p w14:paraId="42055A6E" w14:textId="77777777" w:rsidR="002351A3" w:rsidRDefault="002351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9DDBF" w14:textId="77777777" w:rsidR="00A66D51" w:rsidRDefault="00A66D51" w:rsidP="002351A3">
      <w:r>
        <w:separator/>
      </w:r>
    </w:p>
  </w:footnote>
  <w:footnote w:type="continuationSeparator" w:id="0">
    <w:p w14:paraId="33324D71" w14:textId="77777777" w:rsidR="00A66D51" w:rsidRDefault="00A66D51" w:rsidP="002351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A00CF"/>
    <w:multiLevelType w:val="hybridMultilevel"/>
    <w:tmpl w:val="B1BCFE94"/>
    <w:lvl w:ilvl="0" w:tplc="8FE84B5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uture 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fpxrae7fvzrfe2zdmpaevcpatwdarwstff&quot;&gt;Shenoy.SHM&lt;record-ids&gt;&lt;item&gt;24&lt;/item&gt;&lt;item&gt;56&lt;/item&gt;&lt;item&gt;57&lt;/item&gt;&lt;item&gt;58&lt;/item&gt;&lt;/record-ids&gt;&lt;/item&gt;&lt;/Libraries&gt;"/>
  </w:docVars>
  <w:rsids>
    <w:rsidRoot w:val="00675EE3"/>
    <w:rsid w:val="00073945"/>
    <w:rsid w:val="000D11C8"/>
    <w:rsid w:val="000E5D4F"/>
    <w:rsid w:val="001B5BE7"/>
    <w:rsid w:val="002351A3"/>
    <w:rsid w:val="00286AA4"/>
    <w:rsid w:val="002C35B5"/>
    <w:rsid w:val="002C7BC8"/>
    <w:rsid w:val="002F08B7"/>
    <w:rsid w:val="00300503"/>
    <w:rsid w:val="00307035"/>
    <w:rsid w:val="003216DD"/>
    <w:rsid w:val="00326EA6"/>
    <w:rsid w:val="00451B8B"/>
    <w:rsid w:val="004560B8"/>
    <w:rsid w:val="00480DF1"/>
    <w:rsid w:val="004B6EBE"/>
    <w:rsid w:val="004D5116"/>
    <w:rsid w:val="00504742"/>
    <w:rsid w:val="00507961"/>
    <w:rsid w:val="00525A8E"/>
    <w:rsid w:val="00556A00"/>
    <w:rsid w:val="0057779F"/>
    <w:rsid w:val="005A4CCB"/>
    <w:rsid w:val="005C7233"/>
    <w:rsid w:val="005F5CFB"/>
    <w:rsid w:val="00675EE3"/>
    <w:rsid w:val="006D48AB"/>
    <w:rsid w:val="006E4134"/>
    <w:rsid w:val="006F36B8"/>
    <w:rsid w:val="00722F18"/>
    <w:rsid w:val="00731CD4"/>
    <w:rsid w:val="007366A2"/>
    <w:rsid w:val="007575E3"/>
    <w:rsid w:val="007779DD"/>
    <w:rsid w:val="007D6FCF"/>
    <w:rsid w:val="007E02C1"/>
    <w:rsid w:val="0085241E"/>
    <w:rsid w:val="00892105"/>
    <w:rsid w:val="008B1F6B"/>
    <w:rsid w:val="0090550D"/>
    <w:rsid w:val="009C745E"/>
    <w:rsid w:val="009E04A4"/>
    <w:rsid w:val="00A46870"/>
    <w:rsid w:val="00A66D51"/>
    <w:rsid w:val="00AC5E20"/>
    <w:rsid w:val="00B31E98"/>
    <w:rsid w:val="00B35DFB"/>
    <w:rsid w:val="00BE3D09"/>
    <w:rsid w:val="00C43254"/>
    <w:rsid w:val="00C43B63"/>
    <w:rsid w:val="00C453DC"/>
    <w:rsid w:val="00D000B9"/>
    <w:rsid w:val="00DC234B"/>
    <w:rsid w:val="00DC44C9"/>
    <w:rsid w:val="00E05778"/>
    <w:rsid w:val="00E36CAA"/>
    <w:rsid w:val="00EE1D54"/>
    <w:rsid w:val="00FB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A954"/>
  <w15:chartTrackingRefBased/>
  <w15:docId w15:val="{D8667CD3-E8DE-4842-AEE6-2715C7E8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5EE3"/>
    <w:pPr>
      <w:spacing w:before="100" w:beforeAutospacing="1" w:after="100" w:afterAutospacing="1"/>
    </w:pPr>
  </w:style>
  <w:style w:type="table" w:styleId="TableGrid">
    <w:name w:val="Table Grid"/>
    <w:basedOn w:val="TableNormal"/>
    <w:uiPriority w:val="39"/>
    <w:rsid w:val="00675E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7961"/>
    <w:rPr>
      <w:color w:val="808080"/>
    </w:rPr>
  </w:style>
  <w:style w:type="paragraph" w:styleId="BalloonText">
    <w:name w:val="Balloon Text"/>
    <w:basedOn w:val="Normal"/>
    <w:link w:val="BalloonTextChar"/>
    <w:uiPriority w:val="99"/>
    <w:semiHidden/>
    <w:unhideWhenUsed/>
    <w:rsid w:val="005A4CCB"/>
    <w:rPr>
      <w:sz w:val="18"/>
      <w:szCs w:val="18"/>
    </w:rPr>
  </w:style>
  <w:style w:type="character" w:customStyle="1" w:styleId="BalloonTextChar">
    <w:name w:val="Balloon Text Char"/>
    <w:basedOn w:val="DefaultParagraphFont"/>
    <w:link w:val="BalloonText"/>
    <w:uiPriority w:val="99"/>
    <w:semiHidden/>
    <w:rsid w:val="005A4CCB"/>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D000B9"/>
    <w:rPr>
      <w:sz w:val="16"/>
      <w:szCs w:val="16"/>
    </w:rPr>
  </w:style>
  <w:style w:type="paragraph" w:styleId="CommentText">
    <w:name w:val="annotation text"/>
    <w:basedOn w:val="Normal"/>
    <w:link w:val="CommentTextChar"/>
    <w:uiPriority w:val="99"/>
    <w:semiHidden/>
    <w:unhideWhenUsed/>
    <w:rsid w:val="00D000B9"/>
    <w:rPr>
      <w:sz w:val="20"/>
      <w:szCs w:val="20"/>
    </w:rPr>
  </w:style>
  <w:style w:type="character" w:customStyle="1" w:styleId="CommentTextChar">
    <w:name w:val="Comment Text Char"/>
    <w:basedOn w:val="DefaultParagraphFont"/>
    <w:link w:val="CommentText"/>
    <w:uiPriority w:val="99"/>
    <w:semiHidden/>
    <w:rsid w:val="00D000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00B9"/>
    <w:rPr>
      <w:b/>
      <w:bCs/>
    </w:rPr>
  </w:style>
  <w:style w:type="character" w:customStyle="1" w:styleId="CommentSubjectChar">
    <w:name w:val="Comment Subject Char"/>
    <w:basedOn w:val="CommentTextChar"/>
    <w:link w:val="CommentSubject"/>
    <w:uiPriority w:val="99"/>
    <w:semiHidden/>
    <w:rsid w:val="00D000B9"/>
    <w:rPr>
      <w:rFonts w:ascii="Times New Roman" w:eastAsia="Times New Roman" w:hAnsi="Times New Roman" w:cs="Times New Roman"/>
      <w:b/>
      <w:bCs/>
      <w:sz w:val="20"/>
      <w:szCs w:val="20"/>
    </w:rPr>
  </w:style>
  <w:style w:type="paragraph" w:styleId="ListParagraph">
    <w:name w:val="List Paragraph"/>
    <w:basedOn w:val="Normal"/>
    <w:uiPriority w:val="34"/>
    <w:qFormat/>
    <w:rsid w:val="007D6FCF"/>
    <w:pPr>
      <w:ind w:left="720"/>
      <w:contextualSpacing/>
    </w:pPr>
    <w:rPr>
      <w:rFonts w:asciiTheme="minorHAnsi" w:eastAsiaTheme="minorHAnsi" w:hAnsiTheme="minorHAnsi" w:cstheme="minorBidi"/>
    </w:rPr>
  </w:style>
  <w:style w:type="paragraph" w:customStyle="1" w:styleId="EndNoteBibliographyTitle">
    <w:name w:val="EndNote Bibliography Title"/>
    <w:basedOn w:val="Normal"/>
    <w:link w:val="EndNoteBibliographyTitleChar"/>
    <w:rsid w:val="00300503"/>
    <w:pPr>
      <w:jc w:val="center"/>
    </w:pPr>
    <w:rPr>
      <w:noProof/>
    </w:rPr>
  </w:style>
  <w:style w:type="character" w:customStyle="1" w:styleId="EndNoteBibliographyTitleChar">
    <w:name w:val="EndNote Bibliography Title Char"/>
    <w:basedOn w:val="DefaultParagraphFont"/>
    <w:link w:val="EndNoteBibliographyTitle"/>
    <w:rsid w:val="00300503"/>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300503"/>
    <w:rPr>
      <w:noProof/>
    </w:rPr>
  </w:style>
  <w:style w:type="character" w:customStyle="1" w:styleId="EndNoteBibliographyChar">
    <w:name w:val="EndNote Bibliography Char"/>
    <w:basedOn w:val="DefaultParagraphFont"/>
    <w:link w:val="EndNoteBibliography"/>
    <w:rsid w:val="00300503"/>
    <w:rPr>
      <w:rFonts w:ascii="Times New Roman" w:eastAsia="Times New Roman" w:hAnsi="Times New Roman" w:cs="Times New Roman"/>
      <w:noProof/>
      <w:sz w:val="24"/>
      <w:szCs w:val="24"/>
    </w:rPr>
  </w:style>
  <w:style w:type="paragraph" w:styleId="Header">
    <w:name w:val="header"/>
    <w:basedOn w:val="Normal"/>
    <w:link w:val="HeaderChar"/>
    <w:uiPriority w:val="99"/>
    <w:unhideWhenUsed/>
    <w:rsid w:val="002351A3"/>
    <w:pPr>
      <w:tabs>
        <w:tab w:val="center" w:pos="4680"/>
        <w:tab w:val="right" w:pos="9360"/>
      </w:tabs>
    </w:pPr>
  </w:style>
  <w:style w:type="character" w:customStyle="1" w:styleId="HeaderChar">
    <w:name w:val="Header Char"/>
    <w:basedOn w:val="DefaultParagraphFont"/>
    <w:link w:val="Header"/>
    <w:uiPriority w:val="99"/>
    <w:rsid w:val="002351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1A3"/>
    <w:pPr>
      <w:tabs>
        <w:tab w:val="center" w:pos="4680"/>
        <w:tab w:val="right" w:pos="9360"/>
      </w:tabs>
    </w:pPr>
  </w:style>
  <w:style w:type="character" w:customStyle="1" w:styleId="FooterChar">
    <w:name w:val="Footer Char"/>
    <w:basedOn w:val="DefaultParagraphFont"/>
    <w:link w:val="Footer"/>
    <w:uiPriority w:val="99"/>
    <w:rsid w:val="002351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4</cp:revision>
  <dcterms:created xsi:type="dcterms:W3CDTF">2021-03-17T18:06:00Z</dcterms:created>
  <dcterms:modified xsi:type="dcterms:W3CDTF">2021-03-17T18:30:00Z</dcterms:modified>
</cp:coreProperties>
</file>