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83CF4" w14:textId="77777777" w:rsidR="00062E5D" w:rsidRPr="00463DBC" w:rsidRDefault="00062E5D" w:rsidP="00062E5D">
      <w:pPr>
        <w:jc w:val="both"/>
        <w:rPr>
          <w:rFonts w:ascii="Times New Roman" w:hAnsi="Times New Roman" w:cs="Times New Roman"/>
          <w:sz w:val="20"/>
          <w:szCs w:val="20"/>
          <w:lang w:val="en-GB"/>
        </w:rPr>
      </w:pPr>
      <w:r w:rsidRPr="00463DBC">
        <w:rPr>
          <w:rFonts w:ascii="Times New Roman" w:hAnsi="Times New Roman" w:cs="Times New Roman"/>
          <w:b/>
          <w:bCs/>
          <w:sz w:val="20"/>
          <w:szCs w:val="20"/>
          <w:lang w:val="en-GB"/>
        </w:rPr>
        <w:t>Table S4:</w:t>
      </w:r>
      <w:r w:rsidRPr="00463DBC">
        <w:rPr>
          <w:rFonts w:ascii="Times New Roman" w:hAnsi="Times New Roman" w:cs="Times New Roman"/>
          <w:sz w:val="20"/>
          <w:szCs w:val="20"/>
          <w:lang w:val="en-GB"/>
        </w:rPr>
        <w:t xml:space="preserve"> </w:t>
      </w:r>
      <w:r w:rsidRPr="00463DBC">
        <w:rPr>
          <w:rFonts w:ascii="Times New Roman" w:hAnsi="Times New Roman" w:cs="Times New Roman"/>
          <w:i/>
          <w:iCs/>
          <w:sz w:val="20"/>
          <w:szCs w:val="20"/>
          <w:lang w:val="en-GB"/>
        </w:rPr>
        <w:t xml:space="preserve">Correlation between DNA methylation of cg17901584 and cg23011663 and phenotypes representing glucose metabolism in a pooled cohort of ANDIS and </w:t>
      </w:r>
      <w:proofErr w:type="spellStart"/>
      <w:r w:rsidRPr="00463DBC">
        <w:rPr>
          <w:rFonts w:ascii="Times New Roman" w:hAnsi="Times New Roman" w:cs="Times New Roman"/>
          <w:i/>
          <w:iCs/>
          <w:sz w:val="20"/>
          <w:szCs w:val="20"/>
          <w:lang w:val="en-GB"/>
        </w:rPr>
        <w:t>ANDiU</w:t>
      </w:r>
      <w:proofErr w:type="spellEnd"/>
      <w:r w:rsidRPr="00463DBC">
        <w:rPr>
          <w:rFonts w:ascii="Times New Roman" w:hAnsi="Times New Roman" w:cs="Times New Roman"/>
          <w:i/>
          <w:iCs/>
          <w:sz w:val="20"/>
          <w:szCs w:val="20"/>
          <w:lang w:val="en-GB"/>
        </w:rPr>
        <w:t xml:space="preserve"> (n=361).</w:t>
      </w:r>
    </w:p>
    <w:tbl>
      <w:tblPr>
        <w:tblStyle w:val="TableGrid"/>
        <w:tblW w:w="0" w:type="auto"/>
        <w:tblLook w:val="04A0" w:firstRow="1" w:lastRow="0" w:firstColumn="1" w:lastColumn="0" w:noHBand="0" w:noVBand="1"/>
      </w:tblPr>
      <w:tblGrid>
        <w:gridCol w:w="1414"/>
        <w:gridCol w:w="1205"/>
        <w:gridCol w:w="1282"/>
        <w:gridCol w:w="1278"/>
        <w:gridCol w:w="1280"/>
        <w:gridCol w:w="1283"/>
        <w:gridCol w:w="1284"/>
      </w:tblGrid>
      <w:tr w:rsidR="00463DBC" w:rsidRPr="00463DBC" w14:paraId="202D370F" w14:textId="77777777" w:rsidTr="00FA07FB">
        <w:trPr>
          <w:trHeight w:val="710"/>
        </w:trPr>
        <w:tc>
          <w:tcPr>
            <w:tcW w:w="1418" w:type="dxa"/>
            <w:tcBorders>
              <w:top w:val="single" w:sz="12" w:space="0" w:color="auto"/>
              <w:left w:val="nil"/>
              <w:bottom w:val="single" w:sz="12" w:space="0" w:color="auto"/>
              <w:right w:val="single" w:sz="4" w:space="0" w:color="auto"/>
            </w:tcBorders>
            <w:vAlign w:val="center"/>
          </w:tcPr>
          <w:p w14:paraId="4D17531A" w14:textId="77777777" w:rsidR="00062E5D" w:rsidRPr="00463DBC" w:rsidRDefault="00062E5D" w:rsidP="00FA07FB">
            <w:pPr>
              <w:jc w:val="center"/>
              <w:rPr>
                <w:rFonts w:ascii="Times New Roman" w:hAnsi="Times New Roman" w:cs="Times New Roman"/>
                <w:b/>
                <w:bCs/>
                <w:sz w:val="20"/>
                <w:szCs w:val="20"/>
                <w:lang w:val="en-US"/>
              </w:rPr>
            </w:pPr>
          </w:p>
        </w:tc>
        <w:tc>
          <w:tcPr>
            <w:tcW w:w="1156" w:type="dxa"/>
            <w:tcBorders>
              <w:top w:val="single" w:sz="12" w:space="0" w:color="auto"/>
              <w:left w:val="single" w:sz="4" w:space="0" w:color="auto"/>
              <w:bottom w:val="single" w:sz="12" w:space="0" w:color="auto"/>
              <w:right w:val="nil"/>
            </w:tcBorders>
            <w:vAlign w:val="center"/>
          </w:tcPr>
          <w:p w14:paraId="12DBED08" w14:textId="77777777" w:rsidR="00062E5D" w:rsidRPr="00463DBC" w:rsidRDefault="00062E5D" w:rsidP="00FA07FB">
            <w:pPr>
              <w:rPr>
                <w:rFonts w:ascii="Times New Roman" w:hAnsi="Times New Roman" w:cs="Times New Roman"/>
                <w:b/>
                <w:bCs/>
                <w:sz w:val="20"/>
                <w:szCs w:val="20"/>
                <w:lang w:val="en-US"/>
              </w:rPr>
            </w:pPr>
            <w:proofErr w:type="spellStart"/>
            <w:r w:rsidRPr="00463DBC">
              <w:rPr>
                <w:rFonts w:ascii="Times New Roman" w:hAnsi="Times New Roman" w:cs="Times New Roman"/>
                <w:b/>
                <w:bCs/>
                <w:sz w:val="20"/>
                <w:szCs w:val="20"/>
                <w:lang w:val="en-US"/>
              </w:rPr>
              <w:t>TargetID</w:t>
            </w:r>
            <w:proofErr w:type="spellEnd"/>
          </w:p>
        </w:tc>
        <w:tc>
          <w:tcPr>
            <w:tcW w:w="1287" w:type="dxa"/>
            <w:tcBorders>
              <w:top w:val="single" w:sz="12" w:space="0" w:color="auto"/>
              <w:left w:val="nil"/>
              <w:bottom w:val="single" w:sz="12" w:space="0" w:color="auto"/>
              <w:right w:val="nil"/>
            </w:tcBorders>
            <w:vAlign w:val="center"/>
          </w:tcPr>
          <w:p w14:paraId="1A21048E"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Gene</w:t>
            </w:r>
          </w:p>
        </w:tc>
        <w:tc>
          <w:tcPr>
            <w:tcW w:w="1287" w:type="dxa"/>
            <w:tcBorders>
              <w:top w:val="single" w:sz="12" w:space="0" w:color="auto"/>
              <w:left w:val="nil"/>
              <w:bottom w:val="single" w:sz="12" w:space="0" w:color="auto"/>
              <w:right w:val="nil"/>
            </w:tcBorders>
            <w:vAlign w:val="center"/>
          </w:tcPr>
          <w:p w14:paraId="7FB87B59"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R</w:t>
            </w:r>
          </w:p>
        </w:tc>
        <w:tc>
          <w:tcPr>
            <w:tcW w:w="1287" w:type="dxa"/>
            <w:tcBorders>
              <w:top w:val="single" w:sz="12" w:space="0" w:color="auto"/>
              <w:left w:val="nil"/>
              <w:bottom w:val="single" w:sz="12" w:space="0" w:color="auto"/>
              <w:right w:val="nil"/>
            </w:tcBorders>
            <w:vAlign w:val="center"/>
          </w:tcPr>
          <w:p w14:paraId="6360F546"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HbA1c      p-value</w:t>
            </w:r>
          </w:p>
        </w:tc>
        <w:tc>
          <w:tcPr>
            <w:tcW w:w="1287" w:type="dxa"/>
            <w:tcBorders>
              <w:top w:val="single" w:sz="12" w:space="0" w:color="auto"/>
              <w:left w:val="nil"/>
              <w:bottom w:val="single" w:sz="12" w:space="0" w:color="auto"/>
              <w:right w:val="nil"/>
            </w:tcBorders>
            <w:vAlign w:val="center"/>
          </w:tcPr>
          <w:p w14:paraId="19AE66A8" w14:textId="77777777" w:rsidR="00062E5D" w:rsidRPr="00463DBC" w:rsidRDefault="00062E5D" w:rsidP="00FA07FB">
            <w:pPr>
              <w:jc w:val="center"/>
              <w:rPr>
                <w:rFonts w:ascii="Times New Roman" w:hAnsi="Times New Roman" w:cs="Times New Roman"/>
                <w:b/>
                <w:bCs/>
                <w:sz w:val="20"/>
                <w:szCs w:val="20"/>
              </w:rPr>
            </w:pPr>
            <w:r w:rsidRPr="00463DBC">
              <w:rPr>
                <w:rFonts w:ascii="Times New Roman" w:hAnsi="Times New Roman" w:cs="Times New Roman"/>
                <w:b/>
                <w:bCs/>
                <w:sz w:val="20"/>
                <w:szCs w:val="20"/>
                <w:lang w:val="en-US"/>
              </w:rPr>
              <w:t>HOMA2-B p-value</w:t>
            </w:r>
          </w:p>
        </w:tc>
        <w:tc>
          <w:tcPr>
            <w:tcW w:w="1288" w:type="dxa"/>
            <w:tcBorders>
              <w:top w:val="single" w:sz="12" w:space="0" w:color="auto"/>
              <w:left w:val="nil"/>
              <w:bottom w:val="single" w:sz="12" w:space="0" w:color="auto"/>
              <w:right w:val="nil"/>
            </w:tcBorders>
            <w:vAlign w:val="center"/>
          </w:tcPr>
          <w:p w14:paraId="52A507E8" w14:textId="77777777" w:rsidR="00062E5D" w:rsidRPr="00463DBC" w:rsidRDefault="00062E5D" w:rsidP="00FA07FB">
            <w:pPr>
              <w:jc w:val="center"/>
              <w:rPr>
                <w:rFonts w:ascii="Times New Roman" w:hAnsi="Times New Roman" w:cs="Times New Roman"/>
                <w:b/>
                <w:bCs/>
                <w:sz w:val="20"/>
                <w:szCs w:val="20"/>
              </w:rPr>
            </w:pPr>
            <w:r w:rsidRPr="00463DBC">
              <w:rPr>
                <w:rFonts w:ascii="Times New Roman" w:hAnsi="Times New Roman" w:cs="Times New Roman"/>
                <w:b/>
                <w:bCs/>
                <w:sz w:val="20"/>
                <w:szCs w:val="20"/>
                <w:lang w:val="en-US"/>
              </w:rPr>
              <w:t>HOMA2-IR p-value</w:t>
            </w:r>
          </w:p>
        </w:tc>
      </w:tr>
      <w:tr w:rsidR="00463DBC" w:rsidRPr="00463DBC" w14:paraId="70698111" w14:textId="77777777" w:rsidTr="00FA07FB">
        <w:trPr>
          <w:trHeight w:val="454"/>
        </w:trPr>
        <w:tc>
          <w:tcPr>
            <w:tcW w:w="1418" w:type="dxa"/>
            <w:vMerge w:val="restart"/>
            <w:tcBorders>
              <w:top w:val="single" w:sz="12" w:space="0" w:color="auto"/>
              <w:left w:val="nil"/>
              <w:bottom w:val="single" w:sz="12" w:space="0" w:color="auto"/>
              <w:right w:val="single" w:sz="4" w:space="0" w:color="auto"/>
            </w:tcBorders>
            <w:vAlign w:val="center"/>
          </w:tcPr>
          <w:p w14:paraId="01A603E2"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Model 1 (all variables)</w:t>
            </w:r>
          </w:p>
        </w:tc>
        <w:tc>
          <w:tcPr>
            <w:tcW w:w="1156" w:type="dxa"/>
            <w:tcBorders>
              <w:top w:val="single" w:sz="12" w:space="0" w:color="auto"/>
              <w:left w:val="single" w:sz="4" w:space="0" w:color="auto"/>
              <w:bottom w:val="nil"/>
              <w:right w:val="nil"/>
            </w:tcBorders>
            <w:vAlign w:val="center"/>
          </w:tcPr>
          <w:p w14:paraId="58EFA8E0"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rPr>
              <w:t>cg17901584</w:t>
            </w:r>
          </w:p>
        </w:tc>
        <w:tc>
          <w:tcPr>
            <w:tcW w:w="1287" w:type="dxa"/>
            <w:tcBorders>
              <w:top w:val="single" w:sz="12" w:space="0" w:color="auto"/>
              <w:left w:val="nil"/>
              <w:bottom w:val="nil"/>
              <w:right w:val="nil"/>
            </w:tcBorders>
            <w:vAlign w:val="center"/>
          </w:tcPr>
          <w:p w14:paraId="7D2E86EB" w14:textId="77777777" w:rsidR="00062E5D" w:rsidRPr="00463DBC" w:rsidRDefault="00062E5D" w:rsidP="00FA07FB">
            <w:pPr>
              <w:jc w:val="center"/>
              <w:rPr>
                <w:rFonts w:ascii="Times New Roman" w:hAnsi="Times New Roman" w:cs="Times New Roman"/>
                <w:i/>
                <w:iCs/>
                <w:sz w:val="20"/>
                <w:szCs w:val="20"/>
                <w:lang w:val="en-US"/>
              </w:rPr>
            </w:pPr>
            <w:r w:rsidRPr="00463DBC">
              <w:rPr>
                <w:rFonts w:ascii="Times New Roman" w:hAnsi="Times New Roman" w:cs="Times New Roman"/>
                <w:i/>
                <w:iCs/>
                <w:sz w:val="20"/>
                <w:szCs w:val="20"/>
                <w:lang w:val="en-US"/>
              </w:rPr>
              <w:t>DHCR24</w:t>
            </w:r>
          </w:p>
        </w:tc>
        <w:tc>
          <w:tcPr>
            <w:tcW w:w="1287" w:type="dxa"/>
            <w:tcBorders>
              <w:top w:val="single" w:sz="12" w:space="0" w:color="auto"/>
              <w:left w:val="nil"/>
              <w:bottom w:val="nil"/>
              <w:right w:val="nil"/>
            </w:tcBorders>
            <w:vAlign w:val="center"/>
          </w:tcPr>
          <w:p w14:paraId="7CFAE01A"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0.082</w:t>
            </w:r>
          </w:p>
        </w:tc>
        <w:tc>
          <w:tcPr>
            <w:tcW w:w="1287" w:type="dxa"/>
            <w:tcBorders>
              <w:top w:val="single" w:sz="12" w:space="0" w:color="auto"/>
              <w:left w:val="nil"/>
              <w:bottom w:val="nil"/>
              <w:right w:val="nil"/>
            </w:tcBorders>
            <w:vAlign w:val="center"/>
          </w:tcPr>
          <w:p w14:paraId="3F7433AA"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0.018*</w:t>
            </w:r>
          </w:p>
        </w:tc>
        <w:tc>
          <w:tcPr>
            <w:tcW w:w="1287" w:type="dxa"/>
            <w:tcBorders>
              <w:top w:val="single" w:sz="12" w:space="0" w:color="auto"/>
              <w:left w:val="nil"/>
              <w:bottom w:val="nil"/>
              <w:right w:val="nil"/>
            </w:tcBorders>
            <w:vAlign w:val="center"/>
          </w:tcPr>
          <w:p w14:paraId="67EEE216"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0.173</w:t>
            </w:r>
          </w:p>
        </w:tc>
        <w:tc>
          <w:tcPr>
            <w:tcW w:w="1288" w:type="dxa"/>
            <w:tcBorders>
              <w:top w:val="single" w:sz="12" w:space="0" w:color="auto"/>
              <w:left w:val="nil"/>
              <w:bottom w:val="nil"/>
              <w:right w:val="nil"/>
            </w:tcBorders>
            <w:vAlign w:val="center"/>
          </w:tcPr>
          <w:p w14:paraId="52646452"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0.003*</w:t>
            </w:r>
          </w:p>
        </w:tc>
      </w:tr>
      <w:tr w:rsidR="00463DBC" w:rsidRPr="00463DBC" w14:paraId="3100F335" w14:textId="77777777" w:rsidTr="00FA07FB">
        <w:trPr>
          <w:trHeight w:val="454"/>
        </w:trPr>
        <w:tc>
          <w:tcPr>
            <w:tcW w:w="1418" w:type="dxa"/>
            <w:vMerge/>
            <w:tcBorders>
              <w:top w:val="nil"/>
              <w:left w:val="nil"/>
              <w:bottom w:val="nil"/>
              <w:right w:val="single" w:sz="4" w:space="0" w:color="auto"/>
            </w:tcBorders>
            <w:vAlign w:val="center"/>
          </w:tcPr>
          <w:p w14:paraId="1A895CDE" w14:textId="77777777" w:rsidR="00062E5D" w:rsidRPr="00463DBC" w:rsidRDefault="00062E5D" w:rsidP="00FA07FB">
            <w:pPr>
              <w:jc w:val="center"/>
              <w:rPr>
                <w:rFonts w:ascii="Times New Roman" w:hAnsi="Times New Roman" w:cs="Times New Roman"/>
                <w:b/>
                <w:bCs/>
                <w:sz w:val="20"/>
                <w:szCs w:val="20"/>
              </w:rPr>
            </w:pPr>
          </w:p>
        </w:tc>
        <w:tc>
          <w:tcPr>
            <w:tcW w:w="1156" w:type="dxa"/>
            <w:tcBorders>
              <w:top w:val="nil"/>
              <w:left w:val="single" w:sz="4" w:space="0" w:color="auto"/>
              <w:bottom w:val="nil"/>
              <w:right w:val="nil"/>
            </w:tcBorders>
            <w:vAlign w:val="center"/>
          </w:tcPr>
          <w:p w14:paraId="22BC7582"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shd w:val="clear" w:color="auto" w:fill="FFFFFF"/>
              </w:rPr>
              <w:t>cg23011663</w:t>
            </w:r>
          </w:p>
        </w:tc>
        <w:tc>
          <w:tcPr>
            <w:tcW w:w="1287" w:type="dxa"/>
            <w:tcBorders>
              <w:top w:val="nil"/>
              <w:left w:val="nil"/>
              <w:bottom w:val="nil"/>
              <w:right w:val="nil"/>
            </w:tcBorders>
            <w:vAlign w:val="center"/>
          </w:tcPr>
          <w:p w14:paraId="32F4D34B" w14:textId="77777777" w:rsidR="00062E5D" w:rsidRPr="00463DBC" w:rsidRDefault="00062E5D" w:rsidP="00FA07FB">
            <w:pPr>
              <w:jc w:val="center"/>
              <w:rPr>
                <w:rFonts w:ascii="Times New Roman" w:hAnsi="Times New Roman" w:cs="Times New Roman"/>
                <w:i/>
                <w:iCs/>
                <w:sz w:val="20"/>
                <w:szCs w:val="20"/>
                <w:lang w:val="en-US"/>
              </w:rPr>
            </w:pPr>
            <w:r w:rsidRPr="00463DBC">
              <w:rPr>
                <w:rFonts w:ascii="Times New Roman" w:hAnsi="Times New Roman" w:cs="Times New Roman"/>
                <w:i/>
                <w:iCs/>
                <w:sz w:val="20"/>
                <w:szCs w:val="20"/>
                <w:lang w:val="en-US"/>
              </w:rPr>
              <w:t>ARIH2</w:t>
            </w:r>
          </w:p>
        </w:tc>
        <w:tc>
          <w:tcPr>
            <w:tcW w:w="1287" w:type="dxa"/>
            <w:tcBorders>
              <w:top w:val="nil"/>
              <w:left w:val="nil"/>
              <w:bottom w:val="nil"/>
              <w:right w:val="nil"/>
            </w:tcBorders>
            <w:vAlign w:val="center"/>
          </w:tcPr>
          <w:p w14:paraId="755AC0A1"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0.063</w:t>
            </w:r>
          </w:p>
        </w:tc>
        <w:tc>
          <w:tcPr>
            <w:tcW w:w="1287" w:type="dxa"/>
            <w:tcBorders>
              <w:top w:val="nil"/>
              <w:left w:val="nil"/>
              <w:bottom w:val="nil"/>
              <w:right w:val="nil"/>
            </w:tcBorders>
            <w:vAlign w:val="center"/>
          </w:tcPr>
          <w:p w14:paraId="359CDF45"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0.338</w:t>
            </w:r>
          </w:p>
        </w:tc>
        <w:tc>
          <w:tcPr>
            <w:tcW w:w="1287" w:type="dxa"/>
            <w:tcBorders>
              <w:top w:val="nil"/>
              <w:left w:val="nil"/>
              <w:bottom w:val="nil"/>
              <w:right w:val="nil"/>
            </w:tcBorders>
            <w:vAlign w:val="center"/>
          </w:tcPr>
          <w:p w14:paraId="5E2E1A6E"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0.698</w:t>
            </w:r>
          </w:p>
        </w:tc>
        <w:tc>
          <w:tcPr>
            <w:tcW w:w="1288" w:type="dxa"/>
            <w:tcBorders>
              <w:top w:val="nil"/>
              <w:left w:val="nil"/>
              <w:bottom w:val="nil"/>
              <w:right w:val="nil"/>
            </w:tcBorders>
            <w:vAlign w:val="center"/>
          </w:tcPr>
          <w:p w14:paraId="29B8C8ED"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0.436</w:t>
            </w:r>
          </w:p>
        </w:tc>
      </w:tr>
      <w:tr w:rsidR="00463DBC" w:rsidRPr="00463DBC" w14:paraId="7FAB45A4" w14:textId="77777777" w:rsidTr="00FA07FB">
        <w:trPr>
          <w:trHeight w:val="454"/>
        </w:trPr>
        <w:tc>
          <w:tcPr>
            <w:tcW w:w="1418" w:type="dxa"/>
            <w:vMerge w:val="restart"/>
            <w:tcBorders>
              <w:top w:val="nil"/>
              <w:left w:val="nil"/>
              <w:bottom w:val="nil"/>
              <w:right w:val="single" w:sz="4" w:space="0" w:color="auto"/>
            </w:tcBorders>
            <w:vAlign w:val="center"/>
          </w:tcPr>
          <w:p w14:paraId="0C7EFA32"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Model 2 (HbA1c)</w:t>
            </w:r>
          </w:p>
        </w:tc>
        <w:tc>
          <w:tcPr>
            <w:tcW w:w="1156" w:type="dxa"/>
            <w:tcBorders>
              <w:top w:val="nil"/>
              <w:left w:val="single" w:sz="4" w:space="0" w:color="auto"/>
              <w:bottom w:val="nil"/>
              <w:right w:val="nil"/>
            </w:tcBorders>
            <w:vAlign w:val="center"/>
          </w:tcPr>
          <w:p w14:paraId="7E50FDA4"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rPr>
              <w:t>cg17901584</w:t>
            </w:r>
          </w:p>
        </w:tc>
        <w:tc>
          <w:tcPr>
            <w:tcW w:w="1287" w:type="dxa"/>
            <w:tcBorders>
              <w:top w:val="nil"/>
              <w:left w:val="nil"/>
              <w:bottom w:val="nil"/>
              <w:right w:val="nil"/>
            </w:tcBorders>
            <w:vAlign w:val="center"/>
          </w:tcPr>
          <w:p w14:paraId="041F869A"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DHCR24</w:t>
            </w:r>
          </w:p>
        </w:tc>
        <w:tc>
          <w:tcPr>
            <w:tcW w:w="1287" w:type="dxa"/>
            <w:tcBorders>
              <w:top w:val="nil"/>
              <w:left w:val="nil"/>
              <w:bottom w:val="nil"/>
              <w:right w:val="nil"/>
            </w:tcBorders>
            <w:vAlign w:val="center"/>
          </w:tcPr>
          <w:p w14:paraId="487B6589"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0.058</w:t>
            </w:r>
          </w:p>
        </w:tc>
        <w:tc>
          <w:tcPr>
            <w:tcW w:w="1287" w:type="dxa"/>
            <w:tcBorders>
              <w:top w:val="nil"/>
              <w:left w:val="nil"/>
              <w:bottom w:val="nil"/>
              <w:right w:val="nil"/>
            </w:tcBorders>
            <w:vAlign w:val="center"/>
          </w:tcPr>
          <w:p w14:paraId="40F31D53"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0.003*</w:t>
            </w:r>
          </w:p>
        </w:tc>
        <w:tc>
          <w:tcPr>
            <w:tcW w:w="1287" w:type="dxa"/>
            <w:tcBorders>
              <w:top w:val="nil"/>
              <w:left w:val="nil"/>
              <w:bottom w:val="nil"/>
              <w:right w:val="nil"/>
            </w:tcBorders>
            <w:vAlign w:val="center"/>
          </w:tcPr>
          <w:p w14:paraId="49B8C9DA" w14:textId="77777777" w:rsidR="00062E5D" w:rsidRPr="00463DBC" w:rsidRDefault="00062E5D" w:rsidP="00FA07FB">
            <w:pPr>
              <w:jc w:val="center"/>
              <w:rPr>
                <w:rFonts w:ascii="Times New Roman" w:hAnsi="Times New Roman" w:cs="Times New Roman"/>
                <w:sz w:val="20"/>
                <w:szCs w:val="20"/>
              </w:rPr>
            </w:pPr>
          </w:p>
        </w:tc>
        <w:tc>
          <w:tcPr>
            <w:tcW w:w="1288" w:type="dxa"/>
            <w:tcBorders>
              <w:top w:val="nil"/>
              <w:left w:val="nil"/>
              <w:bottom w:val="nil"/>
              <w:right w:val="nil"/>
            </w:tcBorders>
            <w:vAlign w:val="center"/>
          </w:tcPr>
          <w:p w14:paraId="51247BB9" w14:textId="77777777" w:rsidR="00062E5D" w:rsidRPr="00463DBC" w:rsidRDefault="00062E5D" w:rsidP="00FA07FB">
            <w:pPr>
              <w:jc w:val="center"/>
              <w:rPr>
                <w:rFonts w:ascii="Times New Roman" w:hAnsi="Times New Roman" w:cs="Times New Roman"/>
                <w:sz w:val="20"/>
                <w:szCs w:val="20"/>
              </w:rPr>
            </w:pPr>
          </w:p>
        </w:tc>
      </w:tr>
      <w:tr w:rsidR="00463DBC" w:rsidRPr="00463DBC" w14:paraId="2A3A0494" w14:textId="77777777" w:rsidTr="00FA07FB">
        <w:trPr>
          <w:trHeight w:val="454"/>
        </w:trPr>
        <w:tc>
          <w:tcPr>
            <w:tcW w:w="1418" w:type="dxa"/>
            <w:vMerge/>
            <w:tcBorders>
              <w:top w:val="single" w:sz="12" w:space="0" w:color="auto"/>
              <w:left w:val="nil"/>
              <w:bottom w:val="nil"/>
              <w:right w:val="single" w:sz="4" w:space="0" w:color="auto"/>
            </w:tcBorders>
            <w:vAlign w:val="center"/>
          </w:tcPr>
          <w:p w14:paraId="689B91D2" w14:textId="77777777" w:rsidR="00062E5D" w:rsidRPr="00463DBC" w:rsidRDefault="00062E5D" w:rsidP="00FA07FB">
            <w:pPr>
              <w:jc w:val="center"/>
              <w:rPr>
                <w:rFonts w:ascii="Times New Roman" w:hAnsi="Times New Roman" w:cs="Times New Roman"/>
                <w:b/>
                <w:bCs/>
                <w:sz w:val="20"/>
                <w:szCs w:val="20"/>
              </w:rPr>
            </w:pPr>
          </w:p>
        </w:tc>
        <w:tc>
          <w:tcPr>
            <w:tcW w:w="1156" w:type="dxa"/>
            <w:tcBorders>
              <w:top w:val="nil"/>
              <w:left w:val="single" w:sz="4" w:space="0" w:color="auto"/>
              <w:bottom w:val="nil"/>
              <w:right w:val="nil"/>
            </w:tcBorders>
            <w:vAlign w:val="center"/>
          </w:tcPr>
          <w:p w14:paraId="33361F33"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shd w:val="clear" w:color="auto" w:fill="FFFFFF"/>
              </w:rPr>
              <w:t>cg23011663</w:t>
            </w:r>
          </w:p>
        </w:tc>
        <w:tc>
          <w:tcPr>
            <w:tcW w:w="1287" w:type="dxa"/>
            <w:tcBorders>
              <w:top w:val="nil"/>
              <w:left w:val="nil"/>
              <w:bottom w:val="nil"/>
              <w:right w:val="nil"/>
            </w:tcBorders>
            <w:vAlign w:val="center"/>
          </w:tcPr>
          <w:p w14:paraId="3E57AF4F"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ARIH2</w:t>
            </w:r>
          </w:p>
        </w:tc>
        <w:tc>
          <w:tcPr>
            <w:tcW w:w="1287" w:type="dxa"/>
            <w:tcBorders>
              <w:top w:val="nil"/>
              <w:left w:val="nil"/>
              <w:bottom w:val="nil"/>
              <w:right w:val="nil"/>
            </w:tcBorders>
            <w:vAlign w:val="center"/>
          </w:tcPr>
          <w:p w14:paraId="44ED43FD"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0.058</w:t>
            </w:r>
          </w:p>
        </w:tc>
        <w:tc>
          <w:tcPr>
            <w:tcW w:w="1287" w:type="dxa"/>
            <w:tcBorders>
              <w:top w:val="nil"/>
              <w:left w:val="nil"/>
              <w:bottom w:val="nil"/>
              <w:right w:val="nil"/>
            </w:tcBorders>
            <w:vAlign w:val="center"/>
          </w:tcPr>
          <w:p w14:paraId="5D561607"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0.591</w:t>
            </w:r>
          </w:p>
        </w:tc>
        <w:tc>
          <w:tcPr>
            <w:tcW w:w="1287" w:type="dxa"/>
            <w:tcBorders>
              <w:top w:val="nil"/>
              <w:left w:val="nil"/>
              <w:bottom w:val="nil"/>
              <w:right w:val="nil"/>
            </w:tcBorders>
            <w:vAlign w:val="center"/>
          </w:tcPr>
          <w:p w14:paraId="4A97F192" w14:textId="77777777" w:rsidR="00062E5D" w:rsidRPr="00463DBC" w:rsidRDefault="00062E5D" w:rsidP="00FA07FB">
            <w:pPr>
              <w:jc w:val="center"/>
              <w:rPr>
                <w:rFonts w:ascii="Times New Roman" w:hAnsi="Times New Roman" w:cs="Times New Roman"/>
                <w:sz w:val="20"/>
                <w:szCs w:val="20"/>
              </w:rPr>
            </w:pPr>
          </w:p>
        </w:tc>
        <w:tc>
          <w:tcPr>
            <w:tcW w:w="1288" w:type="dxa"/>
            <w:tcBorders>
              <w:top w:val="nil"/>
              <w:left w:val="nil"/>
              <w:bottom w:val="nil"/>
              <w:right w:val="nil"/>
            </w:tcBorders>
            <w:vAlign w:val="center"/>
          </w:tcPr>
          <w:p w14:paraId="421B3E83" w14:textId="77777777" w:rsidR="00062E5D" w:rsidRPr="00463DBC" w:rsidRDefault="00062E5D" w:rsidP="00FA07FB">
            <w:pPr>
              <w:jc w:val="center"/>
              <w:rPr>
                <w:rFonts w:ascii="Times New Roman" w:hAnsi="Times New Roman" w:cs="Times New Roman"/>
                <w:sz w:val="20"/>
                <w:szCs w:val="20"/>
              </w:rPr>
            </w:pPr>
          </w:p>
        </w:tc>
      </w:tr>
      <w:tr w:rsidR="00463DBC" w:rsidRPr="00463DBC" w14:paraId="3E362E1D" w14:textId="77777777" w:rsidTr="00FA07FB">
        <w:trPr>
          <w:trHeight w:val="454"/>
        </w:trPr>
        <w:tc>
          <w:tcPr>
            <w:tcW w:w="1418" w:type="dxa"/>
            <w:vMerge w:val="restart"/>
            <w:tcBorders>
              <w:top w:val="nil"/>
              <w:left w:val="nil"/>
              <w:bottom w:val="single" w:sz="12" w:space="0" w:color="auto"/>
              <w:right w:val="single" w:sz="4" w:space="0" w:color="auto"/>
            </w:tcBorders>
            <w:vAlign w:val="center"/>
          </w:tcPr>
          <w:p w14:paraId="0ECE6534"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Model 3 (HOMA2-B)</w:t>
            </w:r>
          </w:p>
        </w:tc>
        <w:tc>
          <w:tcPr>
            <w:tcW w:w="1156" w:type="dxa"/>
            <w:tcBorders>
              <w:top w:val="nil"/>
              <w:left w:val="single" w:sz="4" w:space="0" w:color="auto"/>
              <w:bottom w:val="nil"/>
              <w:right w:val="nil"/>
            </w:tcBorders>
            <w:vAlign w:val="center"/>
          </w:tcPr>
          <w:p w14:paraId="1F0D41A7"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rPr>
              <w:t>cg17901584</w:t>
            </w:r>
          </w:p>
        </w:tc>
        <w:tc>
          <w:tcPr>
            <w:tcW w:w="1287" w:type="dxa"/>
            <w:tcBorders>
              <w:top w:val="nil"/>
              <w:left w:val="nil"/>
              <w:bottom w:val="nil"/>
              <w:right w:val="nil"/>
            </w:tcBorders>
            <w:vAlign w:val="center"/>
          </w:tcPr>
          <w:p w14:paraId="5A9C5B43"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DHCR24</w:t>
            </w:r>
          </w:p>
        </w:tc>
        <w:tc>
          <w:tcPr>
            <w:tcW w:w="1287" w:type="dxa"/>
            <w:tcBorders>
              <w:top w:val="nil"/>
              <w:left w:val="nil"/>
              <w:bottom w:val="nil"/>
              <w:right w:val="nil"/>
            </w:tcBorders>
            <w:vAlign w:val="center"/>
          </w:tcPr>
          <w:p w14:paraId="3B661100"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0.030</w:t>
            </w:r>
          </w:p>
        </w:tc>
        <w:tc>
          <w:tcPr>
            <w:tcW w:w="1287" w:type="dxa"/>
            <w:tcBorders>
              <w:top w:val="nil"/>
              <w:left w:val="nil"/>
              <w:bottom w:val="nil"/>
              <w:right w:val="nil"/>
            </w:tcBorders>
            <w:vAlign w:val="center"/>
          </w:tcPr>
          <w:p w14:paraId="55A709E9" w14:textId="77777777" w:rsidR="00062E5D" w:rsidRPr="00463DBC" w:rsidRDefault="00062E5D" w:rsidP="00FA07FB">
            <w:pPr>
              <w:jc w:val="center"/>
              <w:rPr>
                <w:rFonts w:ascii="Times New Roman" w:hAnsi="Times New Roman" w:cs="Times New Roman"/>
                <w:sz w:val="20"/>
                <w:szCs w:val="20"/>
              </w:rPr>
            </w:pPr>
          </w:p>
        </w:tc>
        <w:tc>
          <w:tcPr>
            <w:tcW w:w="1287" w:type="dxa"/>
            <w:tcBorders>
              <w:top w:val="nil"/>
              <w:left w:val="nil"/>
              <w:bottom w:val="nil"/>
              <w:right w:val="nil"/>
            </w:tcBorders>
            <w:vAlign w:val="center"/>
          </w:tcPr>
          <w:p w14:paraId="0434127B"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0.165</w:t>
            </w:r>
          </w:p>
        </w:tc>
        <w:tc>
          <w:tcPr>
            <w:tcW w:w="1288" w:type="dxa"/>
            <w:tcBorders>
              <w:top w:val="nil"/>
              <w:left w:val="nil"/>
              <w:bottom w:val="nil"/>
              <w:right w:val="nil"/>
            </w:tcBorders>
            <w:vAlign w:val="center"/>
          </w:tcPr>
          <w:p w14:paraId="5CB59C33" w14:textId="77777777" w:rsidR="00062E5D" w:rsidRPr="00463DBC" w:rsidRDefault="00062E5D" w:rsidP="00FA07FB">
            <w:pPr>
              <w:jc w:val="center"/>
              <w:rPr>
                <w:rFonts w:ascii="Times New Roman" w:hAnsi="Times New Roman" w:cs="Times New Roman"/>
                <w:sz w:val="20"/>
                <w:szCs w:val="20"/>
              </w:rPr>
            </w:pPr>
          </w:p>
        </w:tc>
      </w:tr>
      <w:tr w:rsidR="00463DBC" w:rsidRPr="00463DBC" w14:paraId="20AD9B6F" w14:textId="77777777" w:rsidTr="00FA07FB">
        <w:trPr>
          <w:trHeight w:val="454"/>
        </w:trPr>
        <w:tc>
          <w:tcPr>
            <w:tcW w:w="1418" w:type="dxa"/>
            <w:vMerge/>
            <w:tcBorders>
              <w:top w:val="nil"/>
              <w:left w:val="nil"/>
              <w:bottom w:val="nil"/>
              <w:right w:val="single" w:sz="4" w:space="0" w:color="auto"/>
            </w:tcBorders>
            <w:vAlign w:val="center"/>
          </w:tcPr>
          <w:p w14:paraId="3F93E35B" w14:textId="77777777" w:rsidR="00062E5D" w:rsidRPr="00463DBC" w:rsidRDefault="00062E5D" w:rsidP="00FA07FB">
            <w:pPr>
              <w:jc w:val="center"/>
              <w:rPr>
                <w:rFonts w:ascii="Times New Roman" w:hAnsi="Times New Roman" w:cs="Times New Roman"/>
                <w:b/>
                <w:bCs/>
                <w:sz w:val="20"/>
                <w:szCs w:val="20"/>
              </w:rPr>
            </w:pPr>
          </w:p>
        </w:tc>
        <w:tc>
          <w:tcPr>
            <w:tcW w:w="1156" w:type="dxa"/>
            <w:tcBorders>
              <w:top w:val="nil"/>
              <w:left w:val="single" w:sz="4" w:space="0" w:color="auto"/>
              <w:bottom w:val="nil"/>
              <w:right w:val="nil"/>
            </w:tcBorders>
            <w:vAlign w:val="center"/>
          </w:tcPr>
          <w:p w14:paraId="2785E537"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shd w:val="clear" w:color="auto" w:fill="FFFFFF"/>
              </w:rPr>
              <w:t>cg23011663</w:t>
            </w:r>
          </w:p>
        </w:tc>
        <w:tc>
          <w:tcPr>
            <w:tcW w:w="1287" w:type="dxa"/>
            <w:tcBorders>
              <w:top w:val="nil"/>
              <w:left w:val="nil"/>
              <w:bottom w:val="nil"/>
              <w:right w:val="nil"/>
            </w:tcBorders>
            <w:vAlign w:val="center"/>
          </w:tcPr>
          <w:p w14:paraId="56B72993"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ARIH2</w:t>
            </w:r>
          </w:p>
        </w:tc>
        <w:tc>
          <w:tcPr>
            <w:tcW w:w="1287" w:type="dxa"/>
            <w:tcBorders>
              <w:top w:val="nil"/>
              <w:left w:val="nil"/>
              <w:bottom w:val="nil"/>
              <w:right w:val="nil"/>
            </w:tcBorders>
            <w:vAlign w:val="center"/>
          </w:tcPr>
          <w:p w14:paraId="4BC2C7E4"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0.058</w:t>
            </w:r>
          </w:p>
        </w:tc>
        <w:tc>
          <w:tcPr>
            <w:tcW w:w="1287" w:type="dxa"/>
            <w:tcBorders>
              <w:top w:val="nil"/>
              <w:left w:val="nil"/>
              <w:bottom w:val="nil"/>
              <w:right w:val="nil"/>
            </w:tcBorders>
            <w:vAlign w:val="center"/>
          </w:tcPr>
          <w:p w14:paraId="0A7B475B" w14:textId="77777777" w:rsidR="00062E5D" w:rsidRPr="00463DBC" w:rsidRDefault="00062E5D" w:rsidP="00FA07FB">
            <w:pPr>
              <w:jc w:val="center"/>
              <w:rPr>
                <w:rFonts w:ascii="Times New Roman" w:hAnsi="Times New Roman" w:cs="Times New Roman"/>
                <w:sz w:val="20"/>
                <w:szCs w:val="20"/>
              </w:rPr>
            </w:pPr>
          </w:p>
        </w:tc>
        <w:tc>
          <w:tcPr>
            <w:tcW w:w="1287" w:type="dxa"/>
            <w:tcBorders>
              <w:top w:val="nil"/>
              <w:left w:val="nil"/>
              <w:bottom w:val="nil"/>
              <w:right w:val="nil"/>
            </w:tcBorders>
            <w:vAlign w:val="center"/>
          </w:tcPr>
          <w:p w14:paraId="366D1326"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0.753</w:t>
            </w:r>
          </w:p>
        </w:tc>
        <w:tc>
          <w:tcPr>
            <w:tcW w:w="1288" w:type="dxa"/>
            <w:tcBorders>
              <w:top w:val="nil"/>
              <w:left w:val="nil"/>
              <w:bottom w:val="nil"/>
              <w:right w:val="nil"/>
            </w:tcBorders>
            <w:vAlign w:val="center"/>
          </w:tcPr>
          <w:p w14:paraId="11846F46" w14:textId="77777777" w:rsidR="00062E5D" w:rsidRPr="00463DBC" w:rsidRDefault="00062E5D" w:rsidP="00FA07FB">
            <w:pPr>
              <w:jc w:val="center"/>
              <w:rPr>
                <w:rFonts w:ascii="Times New Roman" w:hAnsi="Times New Roman" w:cs="Times New Roman"/>
                <w:sz w:val="20"/>
                <w:szCs w:val="20"/>
              </w:rPr>
            </w:pPr>
          </w:p>
        </w:tc>
      </w:tr>
      <w:tr w:rsidR="00463DBC" w:rsidRPr="00463DBC" w14:paraId="381055D9" w14:textId="77777777" w:rsidTr="00FA07FB">
        <w:trPr>
          <w:trHeight w:val="454"/>
        </w:trPr>
        <w:tc>
          <w:tcPr>
            <w:tcW w:w="1418" w:type="dxa"/>
            <w:vMerge w:val="restart"/>
            <w:tcBorders>
              <w:top w:val="nil"/>
              <w:left w:val="nil"/>
              <w:bottom w:val="single" w:sz="12" w:space="0" w:color="auto"/>
              <w:right w:val="single" w:sz="4" w:space="0" w:color="auto"/>
            </w:tcBorders>
            <w:vAlign w:val="center"/>
          </w:tcPr>
          <w:p w14:paraId="3F30C458" w14:textId="77777777" w:rsidR="00062E5D" w:rsidRPr="00463DBC" w:rsidRDefault="00062E5D" w:rsidP="00FA07FB">
            <w:pPr>
              <w:jc w:val="center"/>
              <w:rPr>
                <w:rFonts w:ascii="Times New Roman" w:hAnsi="Times New Roman" w:cs="Times New Roman"/>
                <w:b/>
                <w:bCs/>
                <w:sz w:val="20"/>
                <w:szCs w:val="20"/>
                <w:lang w:val="en-US"/>
              </w:rPr>
            </w:pPr>
            <w:r w:rsidRPr="00463DBC">
              <w:rPr>
                <w:rFonts w:ascii="Times New Roman" w:hAnsi="Times New Roman" w:cs="Times New Roman"/>
                <w:b/>
                <w:bCs/>
                <w:sz w:val="20"/>
                <w:szCs w:val="20"/>
                <w:lang w:val="en-US"/>
              </w:rPr>
              <w:t>Model 4 (HOMA2-IR)</w:t>
            </w:r>
          </w:p>
        </w:tc>
        <w:tc>
          <w:tcPr>
            <w:tcW w:w="1156" w:type="dxa"/>
            <w:tcBorders>
              <w:top w:val="nil"/>
              <w:left w:val="single" w:sz="4" w:space="0" w:color="auto"/>
              <w:bottom w:val="nil"/>
              <w:right w:val="nil"/>
            </w:tcBorders>
            <w:vAlign w:val="center"/>
          </w:tcPr>
          <w:p w14:paraId="4CE947B3"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rPr>
              <w:t>cg17901584</w:t>
            </w:r>
          </w:p>
        </w:tc>
        <w:tc>
          <w:tcPr>
            <w:tcW w:w="1287" w:type="dxa"/>
            <w:tcBorders>
              <w:top w:val="nil"/>
              <w:left w:val="nil"/>
              <w:bottom w:val="nil"/>
              <w:right w:val="nil"/>
            </w:tcBorders>
            <w:vAlign w:val="center"/>
          </w:tcPr>
          <w:p w14:paraId="2C706ECD"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DHCR24</w:t>
            </w:r>
          </w:p>
        </w:tc>
        <w:tc>
          <w:tcPr>
            <w:tcW w:w="1287" w:type="dxa"/>
            <w:tcBorders>
              <w:top w:val="nil"/>
              <w:left w:val="nil"/>
              <w:bottom w:val="nil"/>
              <w:right w:val="nil"/>
            </w:tcBorders>
            <w:vAlign w:val="center"/>
          </w:tcPr>
          <w:p w14:paraId="705780F7"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0.064</w:t>
            </w:r>
          </w:p>
        </w:tc>
        <w:tc>
          <w:tcPr>
            <w:tcW w:w="1287" w:type="dxa"/>
            <w:tcBorders>
              <w:top w:val="nil"/>
              <w:left w:val="nil"/>
              <w:bottom w:val="nil"/>
              <w:right w:val="nil"/>
            </w:tcBorders>
            <w:vAlign w:val="center"/>
          </w:tcPr>
          <w:p w14:paraId="67FB8368" w14:textId="77777777" w:rsidR="00062E5D" w:rsidRPr="00463DBC" w:rsidRDefault="00062E5D" w:rsidP="00FA07FB">
            <w:pPr>
              <w:jc w:val="center"/>
              <w:rPr>
                <w:rFonts w:ascii="Times New Roman" w:hAnsi="Times New Roman" w:cs="Times New Roman"/>
                <w:sz w:val="20"/>
                <w:szCs w:val="20"/>
              </w:rPr>
            </w:pPr>
          </w:p>
        </w:tc>
        <w:tc>
          <w:tcPr>
            <w:tcW w:w="1287" w:type="dxa"/>
            <w:tcBorders>
              <w:top w:val="nil"/>
              <w:left w:val="nil"/>
              <w:bottom w:val="nil"/>
              <w:right w:val="nil"/>
            </w:tcBorders>
            <w:vAlign w:val="center"/>
          </w:tcPr>
          <w:p w14:paraId="36ED1A67" w14:textId="77777777" w:rsidR="00062E5D" w:rsidRPr="00463DBC" w:rsidRDefault="00062E5D" w:rsidP="00FA07FB">
            <w:pPr>
              <w:jc w:val="center"/>
              <w:rPr>
                <w:rFonts w:ascii="Times New Roman" w:hAnsi="Times New Roman" w:cs="Times New Roman"/>
                <w:sz w:val="20"/>
                <w:szCs w:val="20"/>
              </w:rPr>
            </w:pPr>
          </w:p>
        </w:tc>
        <w:tc>
          <w:tcPr>
            <w:tcW w:w="1288" w:type="dxa"/>
            <w:tcBorders>
              <w:top w:val="nil"/>
              <w:left w:val="nil"/>
              <w:bottom w:val="nil"/>
              <w:right w:val="nil"/>
            </w:tcBorders>
            <w:vAlign w:val="center"/>
          </w:tcPr>
          <w:p w14:paraId="411AB14B"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3e-04*</w:t>
            </w:r>
          </w:p>
        </w:tc>
      </w:tr>
      <w:tr w:rsidR="00463DBC" w:rsidRPr="00463DBC" w14:paraId="657FB8AC" w14:textId="77777777" w:rsidTr="00FA07FB">
        <w:trPr>
          <w:trHeight w:val="454"/>
        </w:trPr>
        <w:tc>
          <w:tcPr>
            <w:tcW w:w="1418" w:type="dxa"/>
            <w:vMerge/>
            <w:tcBorders>
              <w:top w:val="single" w:sz="12" w:space="0" w:color="auto"/>
              <w:left w:val="nil"/>
              <w:bottom w:val="single" w:sz="12" w:space="0" w:color="auto"/>
              <w:right w:val="single" w:sz="4" w:space="0" w:color="auto"/>
            </w:tcBorders>
            <w:vAlign w:val="center"/>
          </w:tcPr>
          <w:p w14:paraId="65BA4A3C" w14:textId="77777777" w:rsidR="00062E5D" w:rsidRPr="00463DBC" w:rsidRDefault="00062E5D" w:rsidP="00FA07FB">
            <w:pPr>
              <w:jc w:val="center"/>
              <w:rPr>
                <w:rFonts w:ascii="Times New Roman" w:hAnsi="Times New Roman" w:cs="Times New Roman"/>
                <w:sz w:val="20"/>
                <w:szCs w:val="20"/>
              </w:rPr>
            </w:pPr>
          </w:p>
        </w:tc>
        <w:tc>
          <w:tcPr>
            <w:tcW w:w="1156" w:type="dxa"/>
            <w:tcBorders>
              <w:top w:val="nil"/>
              <w:left w:val="single" w:sz="4" w:space="0" w:color="auto"/>
              <w:bottom w:val="single" w:sz="12" w:space="0" w:color="auto"/>
              <w:right w:val="nil"/>
            </w:tcBorders>
            <w:vAlign w:val="center"/>
          </w:tcPr>
          <w:p w14:paraId="36BEC8EC" w14:textId="77777777" w:rsidR="00062E5D" w:rsidRPr="00463DBC" w:rsidRDefault="00062E5D" w:rsidP="00FA07FB">
            <w:pPr>
              <w:jc w:val="center"/>
              <w:rPr>
                <w:rFonts w:ascii="Times New Roman" w:hAnsi="Times New Roman" w:cs="Times New Roman"/>
                <w:sz w:val="20"/>
                <w:szCs w:val="20"/>
              </w:rPr>
            </w:pPr>
            <w:r w:rsidRPr="00463DBC">
              <w:rPr>
                <w:rFonts w:ascii="Times New Roman" w:hAnsi="Times New Roman" w:cs="Times New Roman"/>
                <w:sz w:val="20"/>
                <w:szCs w:val="20"/>
                <w:shd w:val="clear" w:color="auto" w:fill="FFFFFF"/>
              </w:rPr>
              <w:t>cg23011663</w:t>
            </w:r>
          </w:p>
        </w:tc>
        <w:tc>
          <w:tcPr>
            <w:tcW w:w="1287" w:type="dxa"/>
            <w:tcBorders>
              <w:top w:val="nil"/>
              <w:left w:val="nil"/>
              <w:bottom w:val="single" w:sz="12" w:space="0" w:color="auto"/>
              <w:right w:val="nil"/>
            </w:tcBorders>
            <w:vAlign w:val="center"/>
          </w:tcPr>
          <w:p w14:paraId="502ED981" w14:textId="77777777" w:rsidR="00062E5D" w:rsidRPr="00463DBC" w:rsidRDefault="00062E5D" w:rsidP="00FA07FB">
            <w:pPr>
              <w:jc w:val="center"/>
              <w:rPr>
                <w:rFonts w:ascii="Times New Roman" w:hAnsi="Times New Roman" w:cs="Times New Roman"/>
                <w:i/>
                <w:iCs/>
                <w:sz w:val="20"/>
                <w:szCs w:val="20"/>
              </w:rPr>
            </w:pPr>
            <w:r w:rsidRPr="00463DBC">
              <w:rPr>
                <w:rFonts w:ascii="Times New Roman" w:hAnsi="Times New Roman" w:cs="Times New Roman"/>
                <w:i/>
                <w:iCs/>
                <w:sz w:val="20"/>
                <w:szCs w:val="20"/>
                <w:lang w:val="en-US"/>
              </w:rPr>
              <w:t>ARIH2</w:t>
            </w:r>
          </w:p>
        </w:tc>
        <w:tc>
          <w:tcPr>
            <w:tcW w:w="1287" w:type="dxa"/>
            <w:tcBorders>
              <w:top w:val="nil"/>
              <w:left w:val="nil"/>
              <w:bottom w:val="single" w:sz="12" w:space="0" w:color="auto"/>
              <w:right w:val="nil"/>
            </w:tcBorders>
            <w:vAlign w:val="center"/>
          </w:tcPr>
          <w:p w14:paraId="305B068D"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0.061</w:t>
            </w:r>
          </w:p>
        </w:tc>
        <w:tc>
          <w:tcPr>
            <w:tcW w:w="1287" w:type="dxa"/>
            <w:tcBorders>
              <w:top w:val="nil"/>
              <w:left w:val="nil"/>
              <w:bottom w:val="single" w:sz="12" w:space="0" w:color="auto"/>
              <w:right w:val="nil"/>
            </w:tcBorders>
            <w:vAlign w:val="center"/>
          </w:tcPr>
          <w:p w14:paraId="2F171D26" w14:textId="77777777" w:rsidR="00062E5D" w:rsidRPr="00463DBC" w:rsidRDefault="00062E5D" w:rsidP="00FA07FB">
            <w:pPr>
              <w:jc w:val="center"/>
              <w:rPr>
                <w:rFonts w:ascii="Times New Roman" w:hAnsi="Times New Roman" w:cs="Times New Roman"/>
                <w:sz w:val="20"/>
                <w:szCs w:val="20"/>
              </w:rPr>
            </w:pPr>
          </w:p>
        </w:tc>
        <w:tc>
          <w:tcPr>
            <w:tcW w:w="1287" w:type="dxa"/>
            <w:tcBorders>
              <w:top w:val="nil"/>
              <w:left w:val="nil"/>
              <w:bottom w:val="single" w:sz="12" w:space="0" w:color="auto"/>
              <w:right w:val="nil"/>
            </w:tcBorders>
            <w:vAlign w:val="center"/>
          </w:tcPr>
          <w:p w14:paraId="24C6110D" w14:textId="77777777" w:rsidR="00062E5D" w:rsidRPr="00463DBC" w:rsidRDefault="00062E5D" w:rsidP="00FA07FB">
            <w:pPr>
              <w:jc w:val="center"/>
              <w:rPr>
                <w:rFonts w:ascii="Times New Roman" w:hAnsi="Times New Roman" w:cs="Times New Roman"/>
                <w:sz w:val="20"/>
                <w:szCs w:val="20"/>
              </w:rPr>
            </w:pPr>
          </w:p>
        </w:tc>
        <w:tc>
          <w:tcPr>
            <w:tcW w:w="1288" w:type="dxa"/>
            <w:tcBorders>
              <w:top w:val="nil"/>
              <w:left w:val="nil"/>
              <w:bottom w:val="single" w:sz="12" w:space="0" w:color="auto"/>
              <w:right w:val="nil"/>
            </w:tcBorders>
            <w:vAlign w:val="center"/>
          </w:tcPr>
          <w:p w14:paraId="5D88D5D2" w14:textId="77777777" w:rsidR="00062E5D" w:rsidRPr="00463DBC" w:rsidRDefault="00062E5D" w:rsidP="00FA07FB">
            <w:pPr>
              <w:jc w:val="center"/>
              <w:rPr>
                <w:rFonts w:ascii="Times New Roman" w:hAnsi="Times New Roman" w:cs="Times New Roman"/>
                <w:sz w:val="20"/>
                <w:szCs w:val="20"/>
                <w:lang w:val="en-US"/>
              </w:rPr>
            </w:pPr>
            <w:r w:rsidRPr="00463DBC">
              <w:rPr>
                <w:rFonts w:ascii="Times New Roman" w:hAnsi="Times New Roman" w:cs="Times New Roman"/>
                <w:sz w:val="20"/>
                <w:szCs w:val="20"/>
                <w:lang w:val="en-US"/>
              </w:rPr>
              <w:t>0.316</w:t>
            </w:r>
          </w:p>
        </w:tc>
      </w:tr>
    </w:tbl>
    <w:p w14:paraId="6FDC8116" w14:textId="77777777" w:rsidR="00062E5D" w:rsidRPr="00463DBC" w:rsidRDefault="00062E5D" w:rsidP="00062E5D">
      <w:pPr>
        <w:jc w:val="both"/>
        <w:rPr>
          <w:rFonts w:ascii="Times New Roman" w:hAnsi="Times New Roman" w:cs="Times New Roman"/>
          <w:sz w:val="20"/>
          <w:szCs w:val="20"/>
          <w:lang w:val="en-GB"/>
        </w:rPr>
      </w:pPr>
      <w:r w:rsidRPr="00463DBC">
        <w:rPr>
          <w:rFonts w:ascii="Times New Roman" w:hAnsi="Times New Roman" w:cs="Times New Roman"/>
          <w:sz w:val="20"/>
          <w:szCs w:val="20"/>
          <w:lang w:val="en-GB"/>
        </w:rPr>
        <w:t xml:space="preserve">Linear regression was performed on the sites cg17901584 and cg23011663 </w:t>
      </w:r>
      <w:proofErr w:type="gramStart"/>
      <w:r w:rsidRPr="00463DBC">
        <w:rPr>
          <w:rFonts w:ascii="Times New Roman" w:hAnsi="Times New Roman" w:cs="Times New Roman"/>
          <w:sz w:val="20"/>
          <w:szCs w:val="20"/>
          <w:lang w:val="en-GB"/>
        </w:rPr>
        <w:t>in order to</w:t>
      </w:r>
      <w:proofErr w:type="gramEnd"/>
      <w:r w:rsidRPr="00463DBC">
        <w:rPr>
          <w:rFonts w:ascii="Times New Roman" w:hAnsi="Times New Roman" w:cs="Times New Roman"/>
          <w:sz w:val="20"/>
          <w:szCs w:val="20"/>
          <w:lang w:val="en-GB"/>
        </w:rPr>
        <w:t xml:space="preserve"> assess whether DNA methylation of these sites identified to be associated with statin therapy, are further associated with phenotypes representing glucose metabolism. For this analysis, the </w:t>
      </w:r>
      <w:r w:rsidRPr="00463DBC">
        <w:rPr>
          <w:rFonts w:ascii="Times New Roman" w:hAnsi="Times New Roman" w:cs="Times New Roman"/>
          <w:i/>
          <w:iCs/>
          <w:sz w:val="20"/>
          <w:szCs w:val="20"/>
          <w:lang w:val="en-GB"/>
        </w:rPr>
        <w:t>ANDIS discovery</w:t>
      </w:r>
      <w:r w:rsidRPr="00463DBC">
        <w:rPr>
          <w:rFonts w:ascii="Times New Roman" w:hAnsi="Times New Roman" w:cs="Times New Roman"/>
          <w:sz w:val="20"/>
          <w:szCs w:val="20"/>
          <w:lang w:val="en-GB"/>
        </w:rPr>
        <w:t xml:space="preserve"> and </w:t>
      </w:r>
      <w:proofErr w:type="spellStart"/>
      <w:r w:rsidRPr="00463DBC">
        <w:rPr>
          <w:rFonts w:ascii="Times New Roman" w:hAnsi="Times New Roman" w:cs="Times New Roman"/>
          <w:i/>
          <w:iCs/>
          <w:sz w:val="20"/>
          <w:szCs w:val="20"/>
          <w:lang w:val="en-GB"/>
        </w:rPr>
        <w:t>ANDiU</w:t>
      </w:r>
      <w:proofErr w:type="spellEnd"/>
      <w:r w:rsidRPr="00463DBC">
        <w:rPr>
          <w:rFonts w:ascii="Times New Roman" w:hAnsi="Times New Roman" w:cs="Times New Roman"/>
          <w:i/>
          <w:iCs/>
          <w:sz w:val="20"/>
          <w:szCs w:val="20"/>
          <w:lang w:val="en-GB"/>
        </w:rPr>
        <w:t xml:space="preserve"> replication cohort</w:t>
      </w:r>
      <w:r w:rsidRPr="00463DBC">
        <w:rPr>
          <w:rFonts w:ascii="Times New Roman" w:hAnsi="Times New Roman" w:cs="Times New Roman"/>
          <w:sz w:val="20"/>
          <w:szCs w:val="20"/>
          <w:lang w:val="en-GB"/>
        </w:rPr>
        <w:t xml:space="preserve"> were pooled into one cohort (n=361) to increase power. We considered HbA1c, HOMA2-B and HOMA2-IR as indicators of glucose metabolism. Due to possible dependency between the variables, we conducted 1 model containing all variables in question (Model 1), and one model only including HbA1c (Model 2), one only including HOMA2-B (Model 3) and one only including HOMA2-IR (Model 4), to ascertain whether observed associations are influenced by the other variables. For models including HOMA2, we could only use 318 patients due to lack of HOMA2 baseline measurements. All regression analyses were further adjusted for age, sex and statin therapy and p&lt;0.05 was considered significant. Only HbA1c and HOMA2-IR show a significant association with methylation on cg17901584, both in the single models and the combined model. </w:t>
      </w:r>
    </w:p>
    <w:p w14:paraId="6A1382A9" w14:textId="77777777" w:rsidR="00C605EE" w:rsidRPr="00463DBC" w:rsidRDefault="00C605EE"/>
    <w:sectPr w:rsidR="00C605EE" w:rsidRPr="0046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E5D"/>
    <w:rsid w:val="00062E5D"/>
    <w:rsid w:val="00463DBC"/>
    <w:rsid w:val="004748E2"/>
    <w:rsid w:val="00C605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344ED"/>
  <w15:chartTrackingRefBased/>
  <w15:docId w15:val="{219C3E5F-A0CC-431C-A5DD-2949474B4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E5D"/>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2E5D"/>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Brady</dc:creator>
  <cp:keywords/>
  <dc:description/>
  <cp:lastModifiedBy>Celeste Brady</cp:lastModifiedBy>
  <cp:revision>2</cp:revision>
  <dcterms:created xsi:type="dcterms:W3CDTF">2021-04-22T14:40:00Z</dcterms:created>
  <dcterms:modified xsi:type="dcterms:W3CDTF">2021-04-22T15:04:00Z</dcterms:modified>
</cp:coreProperties>
</file>