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649B" w14:textId="77777777" w:rsidR="007057B7" w:rsidRDefault="007057B7" w:rsidP="007057B7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45713">
        <w:rPr>
          <w:rFonts w:ascii="Times New Roman" w:hAnsi="Times New Roman" w:cs="Times New Roman"/>
          <w:b/>
          <w:bCs/>
          <w:sz w:val="24"/>
          <w:szCs w:val="24"/>
        </w:rPr>
        <w:t>Supplementary Appendix</w:t>
      </w:r>
    </w:p>
    <w:p w14:paraId="4CBB90C2" w14:textId="77777777" w:rsidR="007057B7" w:rsidRDefault="007057B7" w:rsidP="007057B7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2AD4575" w14:textId="77777777" w:rsidR="007057B7" w:rsidRDefault="007057B7" w:rsidP="007057B7">
      <w:p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Heterogeneity analyses</w:t>
      </w:r>
    </w:p>
    <w:p w14:paraId="5C4E7152" w14:textId="77777777" w:rsidR="007057B7" w:rsidRDefault="007057B7" w:rsidP="007057B7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Poor-risk patients</w:t>
      </w:r>
    </w:p>
    <w:p w14:paraId="485E2C22" w14:textId="17531615" w:rsidR="007057B7" w:rsidRPr="003E3D04" w:rsidRDefault="00BB3182" w:rsidP="007057B7">
      <w:pPr>
        <w:tabs>
          <w:tab w:val="left" w:pos="141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7B7">
        <w:rPr>
          <w:rFonts w:ascii="Times New Roman" w:hAnsi="Times New Roman" w:cs="Times New Roman"/>
          <w:sz w:val="24"/>
          <w:szCs w:val="24"/>
        </w:rPr>
        <w:t>Q=1.03; df=2; I</w:t>
      </w:r>
      <w:r w:rsidR="007057B7" w:rsidRPr="003E3D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57B7">
        <w:rPr>
          <w:rFonts w:ascii="Times New Roman" w:hAnsi="Times New Roman" w:cs="Times New Roman"/>
          <w:sz w:val="24"/>
          <w:szCs w:val="24"/>
        </w:rPr>
        <w:t>=0%</w:t>
      </w:r>
    </w:p>
    <w:p w14:paraId="5FCFE9EB" w14:textId="77777777" w:rsidR="007057B7" w:rsidRDefault="007057B7" w:rsidP="007057B7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Intermediate-risk patients</w:t>
      </w:r>
    </w:p>
    <w:p w14:paraId="464DC6D8" w14:textId="6982ED6E" w:rsidR="007057B7" w:rsidRPr="003E3D04" w:rsidRDefault="00BB3182" w:rsidP="007057B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7B7" w:rsidRPr="003E3D04">
        <w:rPr>
          <w:rFonts w:ascii="Times New Roman" w:hAnsi="Times New Roman" w:cs="Times New Roman"/>
          <w:sz w:val="24"/>
          <w:szCs w:val="24"/>
        </w:rPr>
        <w:t>Q</w:t>
      </w:r>
      <w:r w:rsidR="007057B7">
        <w:rPr>
          <w:rFonts w:ascii="Times New Roman" w:hAnsi="Times New Roman" w:cs="Times New Roman"/>
          <w:sz w:val="24"/>
          <w:szCs w:val="24"/>
        </w:rPr>
        <w:t>=</w:t>
      </w:r>
      <w:r w:rsidR="007057B7" w:rsidRPr="003E3D04">
        <w:rPr>
          <w:rFonts w:ascii="Times New Roman" w:hAnsi="Times New Roman" w:cs="Times New Roman"/>
          <w:sz w:val="24"/>
          <w:szCs w:val="24"/>
        </w:rPr>
        <w:t>1.53</w:t>
      </w:r>
      <w:r w:rsidR="007057B7">
        <w:rPr>
          <w:rFonts w:ascii="Times New Roman" w:hAnsi="Times New Roman" w:cs="Times New Roman"/>
          <w:sz w:val="24"/>
          <w:szCs w:val="24"/>
        </w:rPr>
        <w:t>; df=2; I</w:t>
      </w:r>
      <w:r w:rsidR="007057B7" w:rsidRPr="003E3D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57B7">
        <w:rPr>
          <w:rFonts w:ascii="Times New Roman" w:hAnsi="Times New Roman" w:cs="Times New Roman"/>
          <w:sz w:val="24"/>
          <w:szCs w:val="24"/>
        </w:rPr>
        <w:t>=0%</w:t>
      </w:r>
    </w:p>
    <w:p w14:paraId="30D22A94" w14:textId="77777777" w:rsidR="007057B7" w:rsidRDefault="007057B7" w:rsidP="007057B7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Favorable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-risk patients</w:t>
      </w:r>
    </w:p>
    <w:p w14:paraId="09B84F01" w14:textId="5EDB91F1" w:rsidR="007057B7" w:rsidRPr="003E3D04" w:rsidRDefault="00BB3182" w:rsidP="007057B7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7B7" w:rsidRPr="003E3D04">
        <w:rPr>
          <w:rFonts w:ascii="Times New Roman" w:hAnsi="Times New Roman" w:cs="Times New Roman"/>
          <w:sz w:val="24"/>
          <w:szCs w:val="24"/>
        </w:rPr>
        <w:t>Q=1.</w:t>
      </w:r>
      <w:r w:rsidR="007057B7">
        <w:rPr>
          <w:rFonts w:ascii="Times New Roman" w:hAnsi="Times New Roman" w:cs="Times New Roman"/>
          <w:sz w:val="24"/>
          <w:szCs w:val="24"/>
        </w:rPr>
        <w:t>0</w:t>
      </w:r>
      <w:r w:rsidR="007057B7" w:rsidRPr="003E3D04">
        <w:rPr>
          <w:rFonts w:ascii="Times New Roman" w:hAnsi="Times New Roman" w:cs="Times New Roman"/>
          <w:sz w:val="24"/>
          <w:szCs w:val="24"/>
        </w:rPr>
        <w:t>3; df=2; I</w:t>
      </w:r>
      <w:r w:rsidR="007057B7" w:rsidRPr="003E3D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57B7" w:rsidRPr="003E3D04">
        <w:rPr>
          <w:rFonts w:ascii="Times New Roman" w:hAnsi="Times New Roman" w:cs="Times New Roman"/>
          <w:sz w:val="24"/>
          <w:szCs w:val="24"/>
        </w:rPr>
        <w:t>=39%</w:t>
      </w:r>
    </w:p>
    <w:p w14:paraId="3E2C3E8A" w14:textId="0CD8BE8B" w:rsidR="007057B7" w:rsidRDefault="007057B7">
      <w:pPr>
        <w:spacing w:after="160" w:line="259" w:lineRule="auto"/>
      </w:pPr>
      <w:r>
        <w:br w:type="page"/>
      </w:r>
    </w:p>
    <w:p w14:paraId="7FEDC362" w14:textId="21785CBE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  <w:bookmarkStart w:id="0" w:name="STROBE_Statement"/>
      <w:bookmarkEnd w:id="0"/>
      <w:r w:rsidRPr="00B73C53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E9B0B" wp14:editId="6D4EF4AE">
                <wp:simplePos x="0" y="0"/>
                <wp:positionH relativeFrom="page">
                  <wp:posOffset>619760</wp:posOffset>
                </wp:positionH>
                <wp:positionV relativeFrom="paragraph">
                  <wp:posOffset>4184650</wp:posOffset>
                </wp:positionV>
                <wp:extent cx="6297930" cy="482600"/>
                <wp:effectExtent l="0" t="0" r="2667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7418" w14:textId="5FF8FD1C" w:rsidR="007057B7" w:rsidRDefault="007057B7" w:rsidP="007057B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Supplementary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Figure 1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poor-risk patients, according to IMDC criteria (immune checkpoint inhibitors plus tyrosine kinase inhibitors versus sunitinib monotherapy).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14:paraId="730EA3F8" w14:textId="77777777" w:rsidR="007057B7" w:rsidRPr="009E2418" w:rsidRDefault="007057B7" w:rsidP="007057B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E9B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8pt;margin-top:329.5pt;width:495.9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57zKwIAAE4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">
                <v:textbox>
                  <w:txbxContent>
                    <w:p w14:paraId="3F4C7418" w14:textId="5FF8FD1C" w:rsidR="007057B7" w:rsidRDefault="007057B7" w:rsidP="007057B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Supplementary </w:t>
                      </w: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Figure 1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poor-risk patients, according to IMDC criteria (immune checkpoint inhibitors plus tyrosine kinase inhibitors versus sunitinib monotherapy).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14:paraId="730EA3F8" w14:textId="77777777" w:rsidR="007057B7" w:rsidRPr="009E2418" w:rsidRDefault="007057B7" w:rsidP="007057B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E21C139" wp14:editId="76B5A2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0" cy="3670300"/>
            <wp:effectExtent l="0" t="0" r="6350" b="635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D73D8" w14:textId="6C8B7165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05021F62" w14:textId="2EADA5EC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3D7A9405" w14:textId="7E795E51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28D5E1B" w14:textId="020C0069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46006EE" w14:textId="6E4B4CE2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12F69921" w14:textId="453AB618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195D311A" w14:textId="1EE288BC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7316912" w14:textId="48B7F663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D989AFA" w14:textId="5F758DA4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527E2E94" w14:textId="7BE9CE83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4DCDC1BA" w14:textId="221724FD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98DCDDE" w14:textId="3DBB9B35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001F9A90" w14:textId="4614CDEA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577942C7" w14:textId="0656D331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203BC89" w14:textId="0D15BE09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4464BFBE" w14:textId="319561CC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81CAC0B" w14:textId="34E8C6F2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F0121E6" w14:textId="59B52A31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597E50B7" w14:textId="686CBFAC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5DEB665A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AC27DC9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026061DD" w14:textId="31134066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486308" wp14:editId="4A9A43F3">
                <wp:simplePos x="0" y="0"/>
                <wp:positionH relativeFrom="margin">
                  <wp:align>center</wp:align>
                </wp:positionH>
                <wp:positionV relativeFrom="paragraph">
                  <wp:posOffset>4171950</wp:posOffset>
                </wp:positionV>
                <wp:extent cx="6424930" cy="488950"/>
                <wp:effectExtent l="0" t="0" r="13970" b="2540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467A" w14:textId="70929B02" w:rsidR="007057B7" w:rsidRPr="009E2418" w:rsidRDefault="007057B7" w:rsidP="007057B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Supplementary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intermediate-risk patients, according to IMDC criteria (immune checkpoint inhibitors plus tyrosine kinase inhibitors versus sunitinib monotherapy). </w:t>
                            </w:r>
                            <w:r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6308" id="_x0000_s1027" type="#_x0000_t202" style="position:absolute;margin-left:0;margin-top:328.5pt;width:505.9pt;height:3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">
                <v:textbox>
                  <w:txbxContent>
                    <w:p w14:paraId="13B5467A" w14:textId="70929B02" w:rsidR="007057B7" w:rsidRPr="009E2418" w:rsidRDefault="007057B7" w:rsidP="007057B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Supplementary </w:t>
                      </w:r>
                      <w:r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2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intermediate-risk patients, according to IMDC criteria (immune checkpoint inhibitors plus tyrosine kinase inhibitors versus sunitinib monotherapy). </w:t>
                      </w:r>
                      <w:r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3360" behindDoc="1" locked="0" layoutInCell="1" allowOverlap="1" wp14:anchorId="03223A20" wp14:editId="4721B130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5080000" cy="3670300"/>
            <wp:effectExtent l="0" t="0" r="6350" b="635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70698" w14:textId="0C030B3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AE4CE9D" w14:textId="654C7656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6D71BE7" w14:textId="598A7E11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5562F9B" w14:textId="5B788026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766D1A1B" w14:textId="1F42D939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528F84FA" w14:textId="48A4F3CC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6ED5EBB" w14:textId="161EE279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3B582C10" w14:textId="0B6D60CF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409F2C84" w14:textId="30A6327A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357BA177" w14:textId="3E3BC4FF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2EE2014" w14:textId="36B23C86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45194E7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8CA4281" w14:textId="53C416FB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72660782" w14:textId="57906BE2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4F3AEC5A" w14:textId="4A3BDB68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28A28B7" w14:textId="440A84B4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948BD2A" w14:textId="585B6504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68DAF13" w14:textId="1992B39E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4825C4B" w14:textId="7D1A1FFD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781B94C4" w14:textId="78DF9D95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55271624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5789557E" w14:textId="6CB7DA48" w:rsidR="007057B7" w:rsidRDefault="008560F8" w:rsidP="007057B7">
      <w:pPr>
        <w:pStyle w:val="TableNote"/>
        <w:tabs>
          <w:tab w:val="left" w:pos="5400"/>
        </w:tabs>
        <w:rPr>
          <w:szCs w:val="24"/>
        </w:rPr>
      </w:pPr>
      <w:r w:rsidRPr="00B73C53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1519AF" wp14:editId="1CC44C07">
                <wp:simplePos x="0" y="0"/>
                <wp:positionH relativeFrom="margin">
                  <wp:align>center</wp:align>
                </wp:positionH>
                <wp:positionV relativeFrom="paragraph">
                  <wp:posOffset>4127500</wp:posOffset>
                </wp:positionV>
                <wp:extent cx="6285230" cy="495300"/>
                <wp:effectExtent l="0" t="0" r="20320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D60A8" w14:textId="3DB39D78" w:rsidR="007057B7" w:rsidRPr="009E2418" w:rsidRDefault="008560F8" w:rsidP="007057B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Supplementary </w:t>
                            </w:r>
                            <w:r w:rsidR="007057B7" w:rsidRPr="009E24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Figure </w:t>
                            </w:r>
                            <w:r w:rsidR="007057B7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="007057B7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Funnel Plot </w:t>
                            </w:r>
                            <w:r w:rsidR="007057B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of the Overall Survival (OS)</w:t>
                            </w:r>
                            <w:r w:rsidR="007057B7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7057B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 favorable-risk patients, according to IMDC criteria (immune checkpoint inhibitors plus tyrosine kinase inhibitors versus sunitinib monotherapy). </w:t>
                            </w:r>
                            <w:r w:rsidR="007057B7" w:rsidRPr="009E24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519AF" id="_x0000_s1028" type="#_x0000_t202" style="position:absolute;margin-left:0;margin-top:325pt;width:494.9pt;height:3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">
                <v:textbox>
                  <w:txbxContent>
                    <w:p w14:paraId="2C5D60A8" w14:textId="3DB39D78" w:rsidR="007057B7" w:rsidRPr="009E2418" w:rsidRDefault="008560F8" w:rsidP="007057B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Supplementary </w:t>
                      </w:r>
                      <w:r w:rsidR="007057B7" w:rsidRPr="009E24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Figure </w:t>
                      </w:r>
                      <w:r w:rsidR="007057B7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3</w:t>
                      </w:r>
                      <w:r w:rsidR="007057B7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Funnel Plot </w:t>
                      </w:r>
                      <w:r w:rsidR="007057B7">
                        <w:rPr>
                          <w:rFonts w:ascii="Times New Roman" w:hAnsi="Times New Roman" w:cs="Times New Roman"/>
                          <w:lang w:val="en-US"/>
                        </w:rPr>
                        <w:t>of the Overall Survival (OS)</w:t>
                      </w:r>
                      <w:r w:rsidR="007057B7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7057B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 favorable-risk patients, according to IMDC criteria (immune checkpoint inhibitors plus tyrosine kinase inhibitors versus sunitinib monotherapy). </w:t>
                      </w:r>
                      <w:r w:rsidR="007057B7" w:rsidRPr="009E241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4384" behindDoc="1" locked="0" layoutInCell="1" allowOverlap="1" wp14:anchorId="06B9F8F3" wp14:editId="52F872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0000" cy="3670300"/>
            <wp:effectExtent l="0" t="0" r="6350" b="6350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1AAA0" w14:textId="795FD694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371B8C86" w14:textId="79EAED5C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36EAC6B3" w14:textId="21436A3E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7D58895" w14:textId="3FCAED50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05E5A7E1" w14:textId="3FF251F3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56661DDB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6944077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2079C9E8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7B43975A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6B12623C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3B4F9275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76B25350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323328D6" w14:textId="77777777" w:rsidR="007057B7" w:rsidRDefault="007057B7" w:rsidP="007057B7">
      <w:pPr>
        <w:pStyle w:val="TableNote"/>
        <w:tabs>
          <w:tab w:val="left" w:pos="5400"/>
        </w:tabs>
        <w:rPr>
          <w:szCs w:val="24"/>
        </w:rPr>
      </w:pPr>
    </w:p>
    <w:p w14:paraId="721297DC" w14:textId="77777777" w:rsidR="00F87EB8" w:rsidRDefault="00F87EB8"/>
    <w:sectPr w:rsidR="00F87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BAC2" w14:textId="77777777" w:rsidR="008E22CC" w:rsidRDefault="008E22CC" w:rsidP="007057B7">
      <w:pPr>
        <w:spacing w:after="0" w:line="240" w:lineRule="auto"/>
      </w:pPr>
      <w:r>
        <w:separator/>
      </w:r>
    </w:p>
  </w:endnote>
  <w:endnote w:type="continuationSeparator" w:id="0">
    <w:p w14:paraId="3A14B916" w14:textId="77777777" w:rsidR="008E22CC" w:rsidRDefault="008E22CC" w:rsidP="0070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3408" w14:textId="77777777" w:rsidR="008E22CC" w:rsidRDefault="008E22CC" w:rsidP="007057B7">
      <w:pPr>
        <w:spacing w:after="0" w:line="240" w:lineRule="auto"/>
      </w:pPr>
      <w:r>
        <w:separator/>
      </w:r>
    </w:p>
  </w:footnote>
  <w:footnote w:type="continuationSeparator" w:id="0">
    <w:p w14:paraId="7F9611F1" w14:textId="77777777" w:rsidR="008E22CC" w:rsidRDefault="008E22CC" w:rsidP="0070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B29E2"/>
    <w:multiLevelType w:val="hybridMultilevel"/>
    <w:tmpl w:val="C5DE8A86"/>
    <w:lvl w:ilvl="0" w:tplc="B0B6AE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B7"/>
    <w:rsid w:val="007057B7"/>
    <w:rsid w:val="008560F8"/>
    <w:rsid w:val="008E22CC"/>
    <w:rsid w:val="00BB3182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7DD9"/>
  <w15:chartTrackingRefBased/>
  <w15:docId w15:val="{DBEFC182-3AD7-497B-AEC9-D98D1522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B7"/>
    <w:pPr>
      <w:ind w:left="720"/>
      <w:contextualSpacing/>
    </w:pPr>
  </w:style>
  <w:style w:type="paragraph" w:customStyle="1" w:styleId="Default">
    <w:name w:val="Default"/>
    <w:rsid w:val="0070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7057B7"/>
    <w:pPr>
      <w:widowControl w:val="0"/>
      <w:spacing w:after="373"/>
    </w:pPr>
    <w:rPr>
      <w:rFonts w:ascii="Calibri" w:eastAsia="Times New Roman" w:hAnsi="Calibri"/>
      <w:color w:val="auto"/>
      <w:lang w:val="en-CA" w:eastAsia="en-CA"/>
    </w:rPr>
  </w:style>
  <w:style w:type="paragraph" w:customStyle="1" w:styleId="TableNote">
    <w:name w:val="TableNote"/>
    <w:basedOn w:val="Normal"/>
    <w:rsid w:val="007057B7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0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B7"/>
  </w:style>
  <w:style w:type="paragraph" w:styleId="Footer">
    <w:name w:val="footer"/>
    <w:basedOn w:val="Normal"/>
    <w:link w:val="FooterChar"/>
    <w:uiPriority w:val="99"/>
    <w:unhideWhenUsed/>
    <w:rsid w:val="0070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Gilroy</dc:creator>
  <cp:keywords/>
  <dc:description/>
  <cp:lastModifiedBy>Ryan Gilroy</cp:lastModifiedBy>
  <cp:revision>6</cp:revision>
  <dcterms:created xsi:type="dcterms:W3CDTF">2021-04-13T13:49:00Z</dcterms:created>
  <dcterms:modified xsi:type="dcterms:W3CDTF">2021-04-13T13:55:00Z</dcterms:modified>
</cp:coreProperties>
</file>