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1B6D" w14:textId="5C6CE7CA" w:rsidR="005F4E28" w:rsidRPr="00CF4A51" w:rsidRDefault="005F4E28" w:rsidP="005F4E28">
      <w:pPr>
        <w:bidi w:val="0"/>
        <w:jc w:val="center"/>
        <w:rPr>
          <w:rFonts w:ascii="Times New Roman" w:hAnsi="Times New Roman" w:cs="Times New Roman"/>
          <w:lang w:bidi="ar-EG"/>
        </w:rPr>
      </w:pPr>
      <w:r w:rsidRPr="00CF4A51">
        <w:rPr>
          <w:rFonts w:ascii="Times New Roman" w:hAnsi="Times New Roman" w:cs="Times New Roman"/>
          <w:b/>
          <w:bCs/>
          <w:noProof/>
        </w:rPr>
        <w:t xml:space="preserve">Appendix </w:t>
      </w:r>
      <w:r w:rsidR="00112A15" w:rsidRPr="00CF4A51">
        <w:rPr>
          <w:rFonts w:ascii="Times New Roman" w:hAnsi="Times New Roman" w:cs="Times New Roman"/>
          <w:b/>
          <w:bCs/>
          <w:noProof/>
        </w:rPr>
        <w:t>S</w:t>
      </w:r>
      <w:r w:rsidRPr="00CF4A51">
        <w:rPr>
          <w:rFonts w:ascii="Times New Roman" w:hAnsi="Times New Roman" w:cs="Times New Roman"/>
          <w:b/>
          <w:bCs/>
          <w:noProof/>
        </w:rPr>
        <w:t>1</w:t>
      </w:r>
      <w:r w:rsidRPr="00CF4A51">
        <w:rPr>
          <w:rFonts w:ascii="Times New Roman" w:hAnsi="Times New Roman" w:cs="Times New Roman"/>
          <w:noProof/>
        </w:rPr>
        <w:t>: Detailed search strategy for each database.</w:t>
      </w:r>
    </w:p>
    <w:tbl>
      <w:tblPr>
        <w:tblStyle w:val="TableGrid"/>
        <w:tblpPr w:leftFromText="180" w:rightFromText="180" w:vertAnchor="page" w:horzAnchor="margin" w:tblpXSpec="center" w:tblpY="1501"/>
        <w:tblW w:w="6556" w:type="pct"/>
        <w:tblLook w:val="04A0" w:firstRow="1" w:lastRow="0" w:firstColumn="1" w:lastColumn="0" w:noHBand="0" w:noVBand="1"/>
      </w:tblPr>
      <w:tblGrid>
        <w:gridCol w:w="1767"/>
        <w:gridCol w:w="7323"/>
        <w:gridCol w:w="1688"/>
      </w:tblGrid>
      <w:tr w:rsidR="00CF4A51" w:rsidRPr="00831F19" w14:paraId="5B0444BA" w14:textId="77777777" w:rsidTr="00CF4A51">
        <w:trPr>
          <w:trHeight w:val="427"/>
        </w:trPr>
        <w:tc>
          <w:tcPr>
            <w:tcW w:w="820" w:type="pct"/>
            <w:shd w:val="clear" w:color="auto" w:fill="365F91" w:themeFill="accent1" w:themeFillShade="BF"/>
            <w:vAlign w:val="center"/>
          </w:tcPr>
          <w:p w14:paraId="693A0CA4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831F1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Database</w:t>
            </w:r>
          </w:p>
        </w:tc>
        <w:tc>
          <w:tcPr>
            <w:tcW w:w="3397" w:type="pct"/>
            <w:shd w:val="clear" w:color="auto" w:fill="365F91" w:themeFill="accent1" w:themeFillShade="BF"/>
            <w:vAlign w:val="center"/>
          </w:tcPr>
          <w:p w14:paraId="7303CDAF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1F1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Search Strategy</w:t>
            </w:r>
          </w:p>
        </w:tc>
        <w:tc>
          <w:tcPr>
            <w:tcW w:w="783" w:type="pct"/>
            <w:shd w:val="clear" w:color="auto" w:fill="365F91" w:themeFill="accent1" w:themeFillShade="BF"/>
            <w:vAlign w:val="center"/>
          </w:tcPr>
          <w:p w14:paraId="73F6B82B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1F1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Results</w:t>
            </w:r>
          </w:p>
        </w:tc>
      </w:tr>
      <w:tr w:rsidR="00CF4A51" w:rsidRPr="00831F19" w14:paraId="526C5313" w14:textId="77777777" w:rsidTr="00CF4A51">
        <w:trPr>
          <w:trHeight w:val="1170"/>
        </w:trPr>
        <w:tc>
          <w:tcPr>
            <w:tcW w:w="820" w:type="pct"/>
            <w:shd w:val="clear" w:color="auto" w:fill="365F91" w:themeFill="accent1" w:themeFillShade="BF"/>
            <w:vAlign w:val="center"/>
          </w:tcPr>
          <w:p w14:paraId="4DCD7E31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831F1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PubMed</w:t>
            </w:r>
            <w:r w:rsidRPr="00831F1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br/>
            </w:r>
          </w:p>
        </w:tc>
        <w:tc>
          <w:tcPr>
            <w:tcW w:w="3397" w:type="pct"/>
            <w:tcBorders>
              <w:bottom w:val="single" w:sz="4" w:space="0" w:color="auto"/>
            </w:tcBorders>
            <w:vAlign w:val="center"/>
          </w:tcPr>
          <w:p w14:paraId="5F6F09D9" w14:textId="77777777" w:rsidR="00CF4A51" w:rsidRPr="00831F19" w:rsidRDefault="00CF4A51" w:rsidP="00CF4A51">
            <w:pPr>
              <w:ind w:right="75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(Cesarean OR (Cesarean section) OR (caesarean section) OR CS OR (cesarean delivery) OR (C-Section) OR (C Section) OR (</w:t>
            </w:r>
            <w:proofErr w:type="spellStart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Postcesarean</w:t>
            </w:r>
            <w:proofErr w:type="spellEnd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Section) OR (post-cesarean delivery)) AND ((abdominal incision) OR (Skin incision) OR (Vertical skin incision) OR Pfannenstiel OR (transverse skin incision) OR (under umbilicus) OR (midline incision) OR (</w:t>
            </w:r>
            <w:proofErr w:type="spellStart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Suprapannicular</w:t>
            </w:r>
            <w:proofErr w:type="spellEnd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incision)) AND (obesity OR obese OR (body mass index) OR (body weight) OR overweight)</w:t>
            </w:r>
          </w:p>
          <w:p w14:paraId="41D9A0D3" w14:textId="77777777" w:rsidR="00CF4A51" w:rsidRPr="00831F19" w:rsidRDefault="00CF4A51" w:rsidP="00CF4A5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14:paraId="54FB9412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831F1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CF4A51" w:rsidRPr="00831F19" w14:paraId="1705B748" w14:textId="77777777" w:rsidTr="00CF4A51">
        <w:trPr>
          <w:trHeight w:val="1215"/>
        </w:trPr>
        <w:tc>
          <w:tcPr>
            <w:tcW w:w="820" w:type="pct"/>
            <w:vMerge w:val="restart"/>
            <w:shd w:val="clear" w:color="auto" w:fill="365F91" w:themeFill="accent1" w:themeFillShade="BF"/>
            <w:vAlign w:val="center"/>
          </w:tcPr>
          <w:p w14:paraId="20BBE642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1F1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OVID</w:t>
            </w:r>
          </w:p>
        </w:tc>
        <w:tc>
          <w:tcPr>
            <w:tcW w:w="3397" w:type="pct"/>
            <w:tcBorders>
              <w:bottom w:val="nil"/>
            </w:tcBorders>
            <w:vAlign w:val="center"/>
          </w:tcPr>
          <w:p w14:paraId="637D2A19" w14:textId="77777777" w:rsidR="00CF4A51" w:rsidRPr="00831F19" w:rsidRDefault="00CF4A51" w:rsidP="00CF4A51">
            <w:pPr>
              <w:ind w:right="75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1 (Cesarean OR (Cesarean section) OR (caesarean section) OR CS OR (cesarean delivery) OR (C-Section) OR (C Section) OR (</w:t>
            </w:r>
            <w:proofErr w:type="spellStart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Postcesarean</w:t>
            </w:r>
            <w:proofErr w:type="spellEnd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Section) OR (post-cesarean delivery))</w:t>
            </w:r>
            <w:r w:rsidRPr="00831F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31F19">
              <w:rPr>
                <w:rFonts w:ascii="Times New Roman" w:hAnsi="Times New Roman" w:cs="Times New Roman"/>
                <w:sz w:val="18"/>
                <w:szCs w:val="18"/>
              </w:rPr>
              <w:t>ti,ab,kw</w:t>
            </w:r>
            <w:proofErr w:type="spellEnd"/>
            <w:r w:rsidRPr="00831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3" w:type="pct"/>
            <w:tcBorders>
              <w:bottom w:val="nil"/>
            </w:tcBorders>
            <w:vAlign w:val="center"/>
          </w:tcPr>
          <w:p w14:paraId="53C4DCCB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73E2C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F19">
              <w:rPr>
                <w:rFonts w:ascii="Times New Roman" w:hAnsi="Times New Roman" w:cs="Times New Roman"/>
                <w:sz w:val="18"/>
                <w:szCs w:val="18"/>
              </w:rPr>
              <w:t>1 and 2 =19</w:t>
            </w:r>
          </w:p>
          <w:p w14:paraId="27F90370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</w:p>
        </w:tc>
      </w:tr>
      <w:tr w:rsidR="00CF4A51" w:rsidRPr="00831F19" w14:paraId="46AE03CB" w14:textId="77777777" w:rsidTr="00CF4A51">
        <w:trPr>
          <w:trHeight w:val="1230"/>
        </w:trPr>
        <w:tc>
          <w:tcPr>
            <w:tcW w:w="820" w:type="pct"/>
            <w:vMerge/>
            <w:shd w:val="clear" w:color="auto" w:fill="365F91" w:themeFill="accent1" w:themeFillShade="BF"/>
            <w:vAlign w:val="center"/>
          </w:tcPr>
          <w:p w14:paraId="51550598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97" w:type="pct"/>
            <w:tcBorders>
              <w:top w:val="nil"/>
              <w:bottom w:val="nil"/>
            </w:tcBorders>
            <w:vAlign w:val="center"/>
          </w:tcPr>
          <w:p w14:paraId="45C47A26" w14:textId="77777777" w:rsidR="00CF4A51" w:rsidRPr="00831F19" w:rsidRDefault="00CF4A51" w:rsidP="00CF4A51">
            <w:pPr>
              <w:ind w:right="75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2 ((abdominal incision) OR (Skin incision) OR (Vertical skin incision) OR Pfannenstiel OR (transverse skin incision) OR (under umbilicus) OR (midline incision) OR (</w:t>
            </w:r>
            <w:proofErr w:type="spellStart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Suprapannicular</w:t>
            </w:r>
            <w:proofErr w:type="spellEnd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incision))</w:t>
            </w:r>
            <w:r w:rsidRPr="00831F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31F19">
              <w:rPr>
                <w:rFonts w:ascii="Times New Roman" w:hAnsi="Times New Roman" w:cs="Times New Roman"/>
                <w:sz w:val="18"/>
                <w:szCs w:val="18"/>
              </w:rPr>
              <w:t>ti,ab,kw</w:t>
            </w:r>
            <w:proofErr w:type="spellEnd"/>
            <w:r w:rsidRPr="00831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D8EED28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F19">
              <w:rPr>
                <w:rFonts w:ascii="Times New Roman" w:hAnsi="Times New Roman" w:cs="Times New Roman"/>
                <w:sz w:val="18"/>
                <w:szCs w:val="18"/>
              </w:rPr>
              <w:t>2 and 3 = 10</w:t>
            </w:r>
          </w:p>
          <w:p w14:paraId="0F2CD9D9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A51" w:rsidRPr="00831F19" w14:paraId="4E3B1A06" w14:textId="77777777" w:rsidTr="00CF4A51">
        <w:trPr>
          <w:trHeight w:val="306"/>
        </w:trPr>
        <w:tc>
          <w:tcPr>
            <w:tcW w:w="820" w:type="pct"/>
            <w:vMerge/>
            <w:shd w:val="clear" w:color="auto" w:fill="365F91" w:themeFill="accent1" w:themeFillShade="BF"/>
            <w:vAlign w:val="center"/>
          </w:tcPr>
          <w:p w14:paraId="1CD451CC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97" w:type="pct"/>
            <w:tcBorders>
              <w:top w:val="nil"/>
              <w:bottom w:val="single" w:sz="4" w:space="0" w:color="auto"/>
            </w:tcBorders>
            <w:vAlign w:val="center"/>
          </w:tcPr>
          <w:p w14:paraId="1852CACA" w14:textId="77777777" w:rsidR="00CF4A51" w:rsidRPr="00831F19" w:rsidRDefault="00CF4A51" w:rsidP="00CF4A51">
            <w:pPr>
              <w:ind w:right="75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3 (obesity OR obese OR (body mass index) OR (body weight) OR overweight)</w:t>
            </w:r>
            <w:r w:rsidRPr="00831F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31F19">
              <w:rPr>
                <w:rFonts w:ascii="Times New Roman" w:hAnsi="Times New Roman" w:cs="Times New Roman"/>
                <w:sz w:val="18"/>
                <w:szCs w:val="18"/>
              </w:rPr>
              <w:t>ti,ab,kw</w:t>
            </w:r>
            <w:proofErr w:type="spellEnd"/>
            <w:r w:rsidRPr="00831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3" w:type="pct"/>
            <w:tcBorders>
              <w:top w:val="nil"/>
            </w:tcBorders>
            <w:vAlign w:val="center"/>
          </w:tcPr>
          <w:p w14:paraId="3B3A6C64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F19">
              <w:rPr>
                <w:rFonts w:ascii="Times New Roman" w:hAnsi="Times New Roman" w:cs="Times New Roman"/>
                <w:sz w:val="18"/>
                <w:szCs w:val="18"/>
              </w:rPr>
              <w:t>1 and 3 = 210</w:t>
            </w:r>
          </w:p>
          <w:p w14:paraId="4B5D1D55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A51" w:rsidRPr="00831F19" w14:paraId="69CD9579" w14:textId="77777777" w:rsidTr="00CF4A51">
        <w:trPr>
          <w:trHeight w:val="1167"/>
        </w:trPr>
        <w:tc>
          <w:tcPr>
            <w:tcW w:w="820" w:type="pct"/>
            <w:shd w:val="clear" w:color="auto" w:fill="365F91" w:themeFill="accent1" w:themeFillShade="BF"/>
            <w:vAlign w:val="center"/>
          </w:tcPr>
          <w:p w14:paraId="4C623158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831F1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Embase</w:t>
            </w:r>
            <w:proofErr w:type="spellEnd"/>
          </w:p>
        </w:tc>
        <w:tc>
          <w:tcPr>
            <w:tcW w:w="3397" w:type="pct"/>
            <w:tcBorders>
              <w:top w:val="single" w:sz="4" w:space="0" w:color="auto"/>
            </w:tcBorders>
            <w:vAlign w:val="center"/>
          </w:tcPr>
          <w:p w14:paraId="6E0BDCA6" w14:textId="77777777" w:rsidR="00CF4A51" w:rsidRPr="00831F19" w:rsidRDefault="00CF4A51" w:rsidP="00CF4A51">
            <w:pPr>
              <w:ind w:right="75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1CCAC8" w14:textId="77777777" w:rsidR="00CF4A51" w:rsidRPr="00831F19" w:rsidRDefault="00CF4A51" w:rsidP="00CF4A51">
            <w:pPr>
              <w:ind w:right="75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(Cesarean OR (Cesarean section) OR (caesarean section) OR CS OR (cesarean delivery) OR (C-Section) OR (C Section) OR (</w:t>
            </w:r>
            <w:proofErr w:type="spellStart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Postcesarean</w:t>
            </w:r>
            <w:proofErr w:type="spellEnd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Section) OR (post-cesarean delivery)) AND ((abdominal incision) OR (Skin incision) OR (Vertical skin incision) OR Pfannenstiel OR (transverse skin incision) OR (under umbilicus) OR (midline incision) OR (</w:t>
            </w:r>
            <w:proofErr w:type="spellStart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Suprapannicular</w:t>
            </w:r>
            <w:proofErr w:type="spellEnd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incision)) AND (obesity OR obese OR (body mass index) OR (body weight) OR overweight)</w:t>
            </w:r>
          </w:p>
          <w:p w14:paraId="639C4BDF" w14:textId="77777777" w:rsidR="00CF4A51" w:rsidRPr="00831F19" w:rsidRDefault="00CF4A51" w:rsidP="00CF4A51">
            <w:pPr>
              <w:ind w:right="75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E179575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 w:rsidRPr="00831F19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343</w:t>
            </w:r>
          </w:p>
        </w:tc>
      </w:tr>
      <w:tr w:rsidR="00CF4A51" w:rsidRPr="00831F19" w14:paraId="7A58441F" w14:textId="77777777" w:rsidTr="00CF4A51">
        <w:trPr>
          <w:trHeight w:val="1167"/>
        </w:trPr>
        <w:tc>
          <w:tcPr>
            <w:tcW w:w="820" w:type="pct"/>
            <w:shd w:val="clear" w:color="auto" w:fill="365F91" w:themeFill="accent1" w:themeFillShade="BF"/>
            <w:vAlign w:val="center"/>
          </w:tcPr>
          <w:p w14:paraId="0EEC396C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831F1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SCOPUS</w:t>
            </w:r>
          </w:p>
        </w:tc>
        <w:tc>
          <w:tcPr>
            <w:tcW w:w="3397" w:type="pct"/>
            <w:vAlign w:val="center"/>
          </w:tcPr>
          <w:p w14:paraId="17639E62" w14:textId="77777777" w:rsidR="00CF4A51" w:rsidRPr="00831F19" w:rsidRDefault="00CF4A51" w:rsidP="00CF4A51">
            <w:pPr>
              <w:ind w:right="75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BFC747" w14:textId="77777777" w:rsidR="00CF4A51" w:rsidRPr="00831F19" w:rsidRDefault="00CF4A51" w:rsidP="00CF4A51">
            <w:pPr>
              <w:ind w:right="75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TITLE-ABS-KEY ( Cesarean OR ( Cesarean section ) OR ( caesarean section ) OR CS OR ( cesarean delivery ) OR ( C-Section ) OR ( C Section ) OR ( </w:t>
            </w:r>
            <w:proofErr w:type="spellStart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Postcesarean</w:t>
            </w:r>
            <w:proofErr w:type="spellEnd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Section ) OR ( post-cesarean delivery ) ) AND TITLE-ABS-KEY ( ( abdominal incision ) OR ( Skin incision ) OR ( Vertical skin incision ) OR Pfannenstiel OR ( transverse skin incision ) OR ( under umbilicus ) OR ( midline incision ) OR ( </w:t>
            </w:r>
            <w:proofErr w:type="spellStart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Suprapannicular</w:t>
            </w:r>
            <w:proofErr w:type="spellEnd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incision ) ) AND TITLE-ABS-KEY ( obesity OR obese OR ( body mass index ) OR ( body weight ) OR overweight )</w:t>
            </w:r>
          </w:p>
          <w:p w14:paraId="4F4CD90A" w14:textId="77777777" w:rsidR="00CF4A51" w:rsidRPr="00831F19" w:rsidRDefault="00CF4A51" w:rsidP="00CF4A5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22F4433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831F19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161</w:t>
            </w:r>
          </w:p>
        </w:tc>
      </w:tr>
      <w:tr w:rsidR="00CF4A51" w:rsidRPr="00831F19" w14:paraId="53090F66" w14:textId="77777777" w:rsidTr="00CF4A51">
        <w:trPr>
          <w:trHeight w:val="991"/>
        </w:trPr>
        <w:tc>
          <w:tcPr>
            <w:tcW w:w="820" w:type="pct"/>
            <w:shd w:val="clear" w:color="auto" w:fill="365F91" w:themeFill="accent1" w:themeFillShade="BF"/>
            <w:vAlign w:val="center"/>
          </w:tcPr>
          <w:p w14:paraId="273A532C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831F1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Web of Science</w:t>
            </w:r>
          </w:p>
        </w:tc>
        <w:tc>
          <w:tcPr>
            <w:tcW w:w="3397" w:type="pct"/>
            <w:vAlign w:val="center"/>
          </w:tcPr>
          <w:p w14:paraId="039586D8" w14:textId="77777777" w:rsidR="00CF4A51" w:rsidRPr="00831F19" w:rsidRDefault="00CF4A51" w:rsidP="00CF4A51">
            <w:pPr>
              <w:ind w:right="75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62C75D" w14:textId="77777777" w:rsidR="00CF4A51" w:rsidRPr="00831F19" w:rsidRDefault="00CF4A51" w:rsidP="00CF4A51">
            <w:pPr>
              <w:ind w:right="75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(Cesarean OR (Cesarean section) OR (caesarean section) OR CS OR (cesarean delivery) OR (C-Section) OR (C Section) OR (</w:t>
            </w:r>
            <w:proofErr w:type="spellStart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Postcesarean</w:t>
            </w:r>
            <w:proofErr w:type="spellEnd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Section) OR (post-cesarean delivery)) AND ((abdominal incision) OR (Skin incision) OR (Vertical skin incision) OR Pfannenstiel OR (transverse skin incision) OR (under umbilicus) OR (midline incision) OR (</w:t>
            </w:r>
            <w:proofErr w:type="spellStart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Suprapannicular</w:t>
            </w:r>
            <w:proofErr w:type="spellEnd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incision)) AND (obesity OR obese OR (body mass index) OR (body weight) OR overweight)</w:t>
            </w:r>
          </w:p>
          <w:p w14:paraId="5A870BC8" w14:textId="77777777" w:rsidR="00CF4A51" w:rsidRPr="00831F19" w:rsidRDefault="00CF4A51" w:rsidP="00CF4A5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09DBDF10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 w:rsidRPr="00831F19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131</w:t>
            </w:r>
          </w:p>
        </w:tc>
      </w:tr>
      <w:tr w:rsidR="00CF4A51" w:rsidRPr="00831F19" w14:paraId="2733D0E8" w14:textId="77777777" w:rsidTr="00CF4A51">
        <w:trPr>
          <w:trHeight w:val="1050"/>
        </w:trPr>
        <w:tc>
          <w:tcPr>
            <w:tcW w:w="820" w:type="pct"/>
            <w:shd w:val="clear" w:color="auto" w:fill="365F91" w:themeFill="accent1" w:themeFillShade="BF"/>
            <w:vAlign w:val="center"/>
          </w:tcPr>
          <w:p w14:paraId="1DA0AACD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831F1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Cochrane Library </w:t>
            </w:r>
          </w:p>
        </w:tc>
        <w:tc>
          <w:tcPr>
            <w:tcW w:w="3397" w:type="pct"/>
            <w:vAlign w:val="center"/>
          </w:tcPr>
          <w:p w14:paraId="37C53FC8" w14:textId="77777777" w:rsidR="00CF4A51" w:rsidRPr="00831F19" w:rsidRDefault="00CF4A51" w:rsidP="00CF4A51">
            <w:pPr>
              <w:ind w:right="75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2CB62C" w14:textId="77777777" w:rsidR="00CF4A51" w:rsidRPr="00831F19" w:rsidRDefault="00CF4A51" w:rsidP="00CF4A51">
            <w:pPr>
              <w:ind w:right="75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(Cesarean OR (Cesarean section) OR (caesarean section) OR CS OR (cesarean delivery) OR (C-Section) OR (C Section) OR (</w:t>
            </w:r>
            <w:proofErr w:type="spellStart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Postcesarean</w:t>
            </w:r>
            <w:proofErr w:type="spellEnd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Section) OR (post-cesarean delivery)) AND ((abdominal incision) OR (Skin incision) OR (Vertical skin incision) OR Pfannenstiel OR (transverse skin incision) OR (under umbilicus) OR (midline incision) OR (</w:t>
            </w:r>
            <w:proofErr w:type="spellStart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>Suprapannicular</w:t>
            </w:r>
            <w:proofErr w:type="spellEnd"/>
            <w:r w:rsidRPr="00831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incision)) AND (obesity OR obese OR (body mass index) OR (body weight) OR overweight)</w:t>
            </w:r>
          </w:p>
          <w:p w14:paraId="3F5579A5" w14:textId="77777777" w:rsidR="00CF4A51" w:rsidRPr="00831F19" w:rsidRDefault="00CF4A51" w:rsidP="00CF4A5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D28899B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 w:rsidRPr="00831F19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83</w:t>
            </w:r>
          </w:p>
        </w:tc>
      </w:tr>
      <w:tr w:rsidR="00CF4A51" w:rsidRPr="00831F19" w14:paraId="56286BE9" w14:textId="77777777" w:rsidTr="00CF4A51">
        <w:trPr>
          <w:trHeight w:val="1050"/>
        </w:trPr>
        <w:tc>
          <w:tcPr>
            <w:tcW w:w="820" w:type="pct"/>
            <w:shd w:val="clear" w:color="auto" w:fill="365F91" w:themeFill="accent1" w:themeFillShade="BF"/>
            <w:vAlign w:val="center"/>
          </w:tcPr>
          <w:p w14:paraId="09E226B5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bidi="ar-EG"/>
              </w:rPr>
            </w:pPr>
            <w:r w:rsidRPr="00831F1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Clinicaltrial.gov</w:t>
            </w:r>
          </w:p>
        </w:tc>
        <w:tc>
          <w:tcPr>
            <w:tcW w:w="3397" w:type="pct"/>
            <w:vAlign w:val="center"/>
          </w:tcPr>
          <w:p w14:paraId="43F399BD" w14:textId="77777777" w:rsidR="00CF4A51" w:rsidRPr="00831F19" w:rsidRDefault="00CF4A51" w:rsidP="00CF4A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DB309" w14:textId="77777777" w:rsidR="00CF4A51" w:rsidRPr="00831F19" w:rsidRDefault="00CF4A51" w:rsidP="00CF4A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1F19">
              <w:rPr>
                <w:rFonts w:ascii="Times New Roman" w:hAnsi="Times New Roman" w:cs="Times New Roman"/>
                <w:sz w:val="18"/>
                <w:szCs w:val="18"/>
              </w:rPr>
              <w:t xml:space="preserve">Condition or Disease: </w:t>
            </w:r>
            <w:r w:rsidRPr="00831F19">
              <w:rPr>
                <w:rFonts w:ascii="Times New Roman" w:hAnsi="Times New Roman" w:cs="Times New Roman"/>
                <w:sz w:val="18"/>
                <w:szCs w:val="18"/>
              </w:rPr>
              <w:br/>
              <w:t>(Cesarean OR (Cesarean section) OR (caesarean section) OR CS OR (cesarean delivery) OR (C-Section) OR (C Section) OR (</w:t>
            </w:r>
            <w:proofErr w:type="spellStart"/>
            <w:r w:rsidRPr="00831F19">
              <w:rPr>
                <w:rFonts w:ascii="Times New Roman" w:hAnsi="Times New Roman" w:cs="Times New Roman"/>
                <w:sz w:val="18"/>
                <w:szCs w:val="18"/>
              </w:rPr>
              <w:t>Postcesarean</w:t>
            </w:r>
            <w:proofErr w:type="spellEnd"/>
            <w:r w:rsidRPr="00831F19">
              <w:rPr>
                <w:rFonts w:ascii="Times New Roman" w:hAnsi="Times New Roman" w:cs="Times New Roman"/>
                <w:sz w:val="18"/>
                <w:szCs w:val="18"/>
              </w:rPr>
              <w:t xml:space="preserve"> Section) OR (post-cesarean delivery))</w:t>
            </w:r>
            <w:r w:rsidRPr="00831F19">
              <w:rPr>
                <w:rFonts w:ascii="Times New Roman" w:hAnsi="Times New Roman" w:cs="Times New Roman"/>
                <w:sz w:val="18"/>
                <w:szCs w:val="18"/>
              </w:rPr>
              <w:br/>
              <w:t>Other Terms:</w:t>
            </w:r>
            <w:r w:rsidRPr="00831F19">
              <w:rPr>
                <w:rFonts w:ascii="Times New Roman" w:hAnsi="Times New Roman" w:cs="Times New Roman"/>
                <w:sz w:val="18"/>
                <w:szCs w:val="18"/>
              </w:rPr>
              <w:br/>
              <w:t>((abdominal incision) OR (Skin incision) OR (Vertical skin incision) OR Pfannenstiel OR (transverse skin incision) OR (under umbilicus) OR (midline incision) OR (</w:t>
            </w:r>
            <w:proofErr w:type="spellStart"/>
            <w:r w:rsidRPr="00831F19">
              <w:rPr>
                <w:rFonts w:ascii="Times New Roman" w:hAnsi="Times New Roman" w:cs="Times New Roman"/>
                <w:sz w:val="18"/>
                <w:szCs w:val="18"/>
              </w:rPr>
              <w:t>Suprapannicular</w:t>
            </w:r>
            <w:proofErr w:type="spellEnd"/>
            <w:r w:rsidRPr="00831F19">
              <w:rPr>
                <w:rFonts w:ascii="Times New Roman" w:hAnsi="Times New Roman" w:cs="Times New Roman"/>
                <w:sz w:val="18"/>
                <w:szCs w:val="18"/>
              </w:rPr>
              <w:t xml:space="preserve"> incision)) AND (obesity OR obese OR (body mass index) OR (body weight))</w:t>
            </w:r>
          </w:p>
          <w:p w14:paraId="6CAA5621" w14:textId="77777777" w:rsidR="00CF4A51" w:rsidRPr="00831F19" w:rsidRDefault="00CF4A51" w:rsidP="00CF4A51">
            <w:pPr>
              <w:pStyle w:val="NormalWeb"/>
              <w:shd w:val="clear" w:color="auto" w:fill="FFFFFF"/>
              <w:spacing w:before="0" w:beforeAutospacing="0" w:after="90" w:afterAutospacing="0"/>
              <w:jc w:val="both"/>
              <w:rPr>
                <w:color w:val="1D2129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DB7258D" w14:textId="77777777" w:rsidR="00CF4A51" w:rsidRPr="00831F19" w:rsidRDefault="00CF4A51" w:rsidP="00CF4A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EG"/>
              </w:rPr>
            </w:pPr>
            <w:r w:rsidRPr="00831F19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38</w:t>
            </w:r>
          </w:p>
        </w:tc>
      </w:tr>
    </w:tbl>
    <w:p w14:paraId="51715F86" w14:textId="056A7C16" w:rsidR="00A1709C" w:rsidRDefault="00A1709C" w:rsidP="00A1709C">
      <w:pPr>
        <w:bidi w:val="0"/>
      </w:pPr>
    </w:p>
    <w:p w14:paraId="59FD92F1" w14:textId="67C0B3BE" w:rsidR="00A1709C" w:rsidRDefault="00A1709C" w:rsidP="00A1709C">
      <w:pPr>
        <w:bidi w:val="0"/>
      </w:pPr>
    </w:p>
    <w:p w14:paraId="66BC61A7" w14:textId="77777777" w:rsidR="00CF4A51" w:rsidRDefault="00CF4A51" w:rsidP="00CF4A51">
      <w:pPr>
        <w:bidi w:val="0"/>
      </w:pPr>
    </w:p>
    <w:p w14:paraId="59A38F9D" w14:textId="47F812B2" w:rsidR="00A1709C" w:rsidRPr="00CF4A51" w:rsidRDefault="00A1709C" w:rsidP="00A1709C">
      <w:pPr>
        <w:jc w:val="center"/>
        <w:rPr>
          <w:rFonts w:ascii="Times New Roman" w:hAnsi="Times New Roman" w:cs="Times New Roman"/>
        </w:rPr>
      </w:pPr>
      <w:r w:rsidRPr="00CF4A51">
        <w:rPr>
          <w:rFonts w:ascii="Times New Roman" w:hAnsi="Times New Roman" w:cs="Times New Roman"/>
          <w:b/>
        </w:rPr>
        <w:lastRenderedPageBreak/>
        <w:t>Appendix</w:t>
      </w:r>
      <w:r w:rsidR="00CF4A51" w:rsidRPr="00CF4A51">
        <w:rPr>
          <w:rFonts w:ascii="Times New Roman" w:hAnsi="Times New Roman" w:cs="Times New Roman"/>
          <w:b/>
        </w:rPr>
        <w:t xml:space="preserve"> S</w:t>
      </w:r>
      <w:r w:rsidRPr="00CF4A51">
        <w:rPr>
          <w:rFonts w:ascii="Times New Roman" w:hAnsi="Times New Roman" w:cs="Times New Roman"/>
          <w:b/>
        </w:rPr>
        <w:t>2a</w:t>
      </w:r>
      <w:r w:rsidRPr="00CF4A51">
        <w:rPr>
          <w:rFonts w:ascii="Times New Roman" w:hAnsi="Times New Roman" w:cs="Times New Roman"/>
        </w:rPr>
        <w:t>: Quality assessment of cohort studies using a modified Newcastle-Ottawa scale</w:t>
      </w:r>
    </w:p>
    <w:p w14:paraId="72C97032" w14:textId="77777777" w:rsidR="00A1709C" w:rsidRPr="00831F19" w:rsidRDefault="00A1709C" w:rsidP="00A1709C">
      <w:pPr>
        <w:rPr>
          <w:rFonts w:cs="Calibri"/>
          <w:sz w:val="18"/>
          <w:szCs w:val="18"/>
        </w:rPr>
      </w:pPr>
    </w:p>
    <w:tbl>
      <w:tblPr>
        <w:tblpPr w:leftFromText="180" w:rightFromText="180" w:vertAnchor="page" w:horzAnchor="page" w:tblpX="289" w:tblpY="2471"/>
        <w:tblW w:w="1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175"/>
        <w:gridCol w:w="1417"/>
        <w:gridCol w:w="1606"/>
        <w:gridCol w:w="1419"/>
        <w:gridCol w:w="850"/>
        <w:gridCol w:w="1154"/>
        <w:gridCol w:w="735"/>
        <w:gridCol w:w="975"/>
        <w:gridCol w:w="554"/>
      </w:tblGrid>
      <w:tr w:rsidR="00831F19" w:rsidRPr="00484042" w14:paraId="16A7A2D0" w14:textId="77777777" w:rsidTr="00CF4A51">
        <w:trPr>
          <w:trHeight w:val="282"/>
        </w:trPr>
        <w:tc>
          <w:tcPr>
            <w:tcW w:w="1487" w:type="dxa"/>
            <w:vMerge w:val="restart"/>
            <w:shd w:val="clear" w:color="auto" w:fill="auto"/>
          </w:tcPr>
          <w:p w14:paraId="595086DA" w14:textId="77777777" w:rsidR="00831F19" w:rsidRPr="00484042" w:rsidRDefault="00831F19" w:rsidP="00831F19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Study ID</w:t>
            </w:r>
          </w:p>
        </w:tc>
        <w:tc>
          <w:tcPr>
            <w:tcW w:w="5617" w:type="dxa"/>
            <w:gridSpan w:val="4"/>
            <w:shd w:val="clear" w:color="auto" w:fill="auto"/>
          </w:tcPr>
          <w:p w14:paraId="0152519C" w14:textId="77777777" w:rsidR="00831F19" w:rsidRPr="00484042" w:rsidRDefault="00831F19" w:rsidP="00831F19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Selection</w:t>
            </w:r>
          </w:p>
        </w:tc>
        <w:tc>
          <w:tcPr>
            <w:tcW w:w="850" w:type="dxa"/>
            <w:shd w:val="clear" w:color="auto" w:fill="auto"/>
          </w:tcPr>
          <w:p w14:paraId="4E117D2D" w14:textId="77777777" w:rsidR="00831F19" w:rsidRPr="00484042" w:rsidRDefault="00831F19" w:rsidP="00831F19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Comparability</w:t>
            </w:r>
          </w:p>
        </w:tc>
        <w:tc>
          <w:tcPr>
            <w:tcW w:w="2864" w:type="dxa"/>
            <w:gridSpan w:val="3"/>
            <w:shd w:val="clear" w:color="auto" w:fill="auto"/>
          </w:tcPr>
          <w:p w14:paraId="0FFC0756" w14:textId="77777777" w:rsidR="00831F19" w:rsidRPr="00484042" w:rsidRDefault="00831F19" w:rsidP="00831F19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Outcome</w:t>
            </w:r>
          </w:p>
        </w:tc>
        <w:tc>
          <w:tcPr>
            <w:tcW w:w="554" w:type="dxa"/>
            <w:shd w:val="clear" w:color="auto" w:fill="auto"/>
          </w:tcPr>
          <w:p w14:paraId="52B220F8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Total (9)</w:t>
            </w:r>
          </w:p>
        </w:tc>
      </w:tr>
      <w:tr w:rsidR="00831F19" w:rsidRPr="00484042" w14:paraId="36A33925" w14:textId="77777777" w:rsidTr="00CF4A51">
        <w:trPr>
          <w:trHeight w:val="734"/>
        </w:trPr>
        <w:tc>
          <w:tcPr>
            <w:tcW w:w="1487" w:type="dxa"/>
            <w:vMerge/>
            <w:shd w:val="clear" w:color="auto" w:fill="auto"/>
          </w:tcPr>
          <w:p w14:paraId="381DBB70" w14:textId="77777777" w:rsidR="00831F19" w:rsidRPr="00484042" w:rsidRDefault="00831F19" w:rsidP="00831F1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14:paraId="67AC822A" w14:textId="77777777" w:rsidR="00831F19" w:rsidRPr="00484042" w:rsidRDefault="00831F19" w:rsidP="00831F19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Representativeness of exposed cohort (</w:t>
            </w: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  <w:r w:rsidRPr="00484042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00A743A" w14:textId="77777777" w:rsidR="00831F19" w:rsidRPr="00484042" w:rsidRDefault="00831F19" w:rsidP="00831F19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Selection of non-exposed cohort (</w:t>
            </w: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  <w:r w:rsidRPr="00484042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14:paraId="0C19AF4A" w14:textId="77777777" w:rsidR="00831F19" w:rsidRPr="00484042" w:rsidRDefault="00831F19" w:rsidP="00831F19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Ascertainment of exposure (</w:t>
            </w: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  <w:r w:rsidRPr="00484042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419" w:type="dxa"/>
            <w:shd w:val="clear" w:color="auto" w:fill="auto"/>
          </w:tcPr>
          <w:p w14:paraId="506651AB" w14:textId="77777777" w:rsidR="00831F19" w:rsidRPr="00484042" w:rsidRDefault="00831F19" w:rsidP="00831F19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Demonstration that outcome of interest was not present at start of study (</w:t>
            </w: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  <w:r w:rsidRPr="00484042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057F846" w14:textId="77777777" w:rsidR="00831F19" w:rsidRPr="00484042" w:rsidRDefault="00831F19" w:rsidP="00831F19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(</w:t>
            </w:r>
            <w:r w:rsidRPr="00484042">
              <w:rPr>
                <w:rFonts w:ascii="Cambria Math" w:hAnsi="Cambria Math" w:cs="Cambria Math"/>
                <w:sz w:val="18"/>
                <w:szCs w:val="18"/>
              </w:rPr>
              <w:t>⋆⋆</w:t>
            </w:r>
            <w:r w:rsidRPr="00484042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154" w:type="dxa"/>
            <w:shd w:val="clear" w:color="auto" w:fill="auto"/>
          </w:tcPr>
          <w:p w14:paraId="49DC3F2A" w14:textId="77777777" w:rsidR="00831F19" w:rsidRPr="00484042" w:rsidRDefault="00831F19" w:rsidP="00831F19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Assessment of outcome (</w:t>
            </w: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  <w:r w:rsidRPr="00484042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35" w:type="dxa"/>
            <w:shd w:val="clear" w:color="auto" w:fill="auto"/>
          </w:tcPr>
          <w:p w14:paraId="21700EC5" w14:textId="77777777" w:rsidR="00831F19" w:rsidRPr="00484042" w:rsidRDefault="00831F19" w:rsidP="00831F19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Length of follow-up (</w:t>
            </w: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  <w:r w:rsidRPr="00484042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975" w:type="dxa"/>
            <w:shd w:val="clear" w:color="auto" w:fill="auto"/>
          </w:tcPr>
          <w:p w14:paraId="62F35BA1" w14:textId="77777777" w:rsidR="00831F19" w:rsidRPr="00484042" w:rsidRDefault="00831F19" w:rsidP="00831F19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Adequacy of follow up (</w:t>
            </w: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  <w:r w:rsidRPr="00484042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554" w:type="dxa"/>
            <w:shd w:val="clear" w:color="auto" w:fill="auto"/>
          </w:tcPr>
          <w:p w14:paraId="2D0F14F1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</w:p>
        </w:tc>
      </w:tr>
      <w:tr w:rsidR="00831F19" w:rsidRPr="00484042" w14:paraId="10558D5D" w14:textId="77777777" w:rsidTr="00CF4A51">
        <w:trPr>
          <w:trHeight w:val="458"/>
        </w:trPr>
        <w:tc>
          <w:tcPr>
            <w:tcW w:w="1487" w:type="dxa"/>
            <w:shd w:val="clear" w:color="auto" w:fill="auto"/>
            <w:vAlign w:val="center"/>
          </w:tcPr>
          <w:p w14:paraId="2ED400E2" w14:textId="14D41FDA" w:rsidR="00831F19" w:rsidRPr="00484042" w:rsidRDefault="00831F19" w:rsidP="00831F1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Sutton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484042">
              <w:rPr>
                <w:rFonts w:cs="Calibri"/>
                <w:sz w:val="18"/>
                <w:szCs w:val="18"/>
              </w:rPr>
              <w:t xml:space="preserve"> 2015</w:t>
            </w:r>
          </w:p>
        </w:tc>
        <w:tc>
          <w:tcPr>
            <w:tcW w:w="1175" w:type="dxa"/>
            <w:shd w:val="clear" w:color="auto" w:fill="auto"/>
          </w:tcPr>
          <w:p w14:paraId="163299AC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7" w:type="dxa"/>
            <w:shd w:val="clear" w:color="auto" w:fill="auto"/>
          </w:tcPr>
          <w:p w14:paraId="2E3E1E79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606" w:type="dxa"/>
            <w:shd w:val="clear" w:color="auto" w:fill="auto"/>
          </w:tcPr>
          <w:p w14:paraId="2023CA45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9" w:type="dxa"/>
            <w:shd w:val="clear" w:color="auto" w:fill="auto"/>
          </w:tcPr>
          <w:p w14:paraId="18138964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850" w:type="dxa"/>
            <w:shd w:val="clear" w:color="auto" w:fill="auto"/>
          </w:tcPr>
          <w:p w14:paraId="408A9061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⋆⋆</w:t>
            </w:r>
          </w:p>
        </w:tc>
        <w:tc>
          <w:tcPr>
            <w:tcW w:w="1154" w:type="dxa"/>
            <w:shd w:val="clear" w:color="auto" w:fill="auto"/>
          </w:tcPr>
          <w:p w14:paraId="1ED1A4EB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735" w:type="dxa"/>
            <w:shd w:val="clear" w:color="auto" w:fill="auto"/>
          </w:tcPr>
          <w:p w14:paraId="6BB09061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975" w:type="dxa"/>
            <w:shd w:val="clear" w:color="auto" w:fill="auto"/>
          </w:tcPr>
          <w:p w14:paraId="6F9FBE3D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554" w:type="dxa"/>
            <w:shd w:val="clear" w:color="auto" w:fill="auto"/>
          </w:tcPr>
          <w:p w14:paraId="5E5224AB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9</w:t>
            </w:r>
          </w:p>
        </w:tc>
      </w:tr>
      <w:tr w:rsidR="00831F19" w:rsidRPr="00484042" w14:paraId="6AB8A173" w14:textId="77777777" w:rsidTr="00CF4A51">
        <w:trPr>
          <w:trHeight w:val="469"/>
        </w:trPr>
        <w:tc>
          <w:tcPr>
            <w:tcW w:w="1487" w:type="dxa"/>
            <w:shd w:val="clear" w:color="auto" w:fill="auto"/>
            <w:vAlign w:val="center"/>
          </w:tcPr>
          <w:p w14:paraId="3D1CE913" w14:textId="1B439781" w:rsidR="00831F19" w:rsidRPr="00484042" w:rsidRDefault="00831F19" w:rsidP="00831F1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Bell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484042">
              <w:rPr>
                <w:rFonts w:cs="Calibri"/>
                <w:sz w:val="18"/>
                <w:szCs w:val="18"/>
              </w:rPr>
              <w:t xml:space="preserve"> 2011</w:t>
            </w:r>
          </w:p>
        </w:tc>
        <w:tc>
          <w:tcPr>
            <w:tcW w:w="1175" w:type="dxa"/>
            <w:shd w:val="clear" w:color="auto" w:fill="auto"/>
          </w:tcPr>
          <w:p w14:paraId="192651E6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7" w:type="dxa"/>
            <w:shd w:val="clear" w:color="auto" w:fill="auto"/>
          </w:tcPr>
          <w:p w14:paraId="6E20AFC8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606" w:type="dxa"/>
            <w:shd w:val="clear" w:color="auto" w:fill="auto"/>
          </w:tcPr>
          <w:p w14:paraId="77047394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9" w:type="dxa"/>
            <w:shd w:val="clear" w:color="auto" w:fill="auto"/>
          </w:tcPr>
          <w:p w14:paraId="00D2F293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850" w:type="dxa"/>
            <w:shd w:val="clear" w:color="auto" w:fill="auto"/>
          </w:tcPr>
          <w:p w14:paraId="37B0A3FB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⋆⋆</w:t>
            </w:r>
          </w:p>
        </w:tc>
        <w:tc>
          <w:tcPr>
            <w:tcW w:w="1154" w:type="dxa"/>
            <w:shd w:val="clear" w:color="auto" w:fill="auto"/>
          </w:tcPr>
          <w:p w14:paraId="0E8F9EF7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735" w:type="dxa"/>
            <w:shd w:val="clear" w:color="auto" w:fill="auto"/>
          </w:tcPr>
          <w:p w14:paraId="36D23350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14:paraId="390745C6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14:paraId="670CA23B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7</w:t>
            </w:r>
          </w:p>
        </w:tc>
      </w:tr>
      <w:tr w:rsidR="00831F19" w:rsidRPr="00484042" w14:paraId="2F05DCBD" w14:textId="77777777" w:rsidTr="00CF4A51">
        <w:trPr>
          <w:trHeight w:val="458"/>
        </w:trPr>
        <w:tc>
          <w:tcPr>
            <w:tcW w:w="1487" w:type="dxa"/>
            <w:shd w:val="clear" w:color="auto" w:fill="auto"/>
            <w:vAlign w:val="center"/>
          </w:tcPr>
          <w:p w14:paraId="4816A7D2" w14:textId="77777777" w:rsidR="00831F19" w:rsidRPr="00484042" w:rsidRDefault="00831F19" w:rsidP="00831F19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Alanis, 2010</w:t>
            </w:r>
          </w:p>
        </w:tc>
        <w:tc>
          <w:tcPr>
            <w:tcW w:w="1175" w:type="dxa"/>
            <w:shd w:val="clear" w:color="auto" w:fill="auto"/>
          </w:tcPr>
          <w:p w14:paraId="28310479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7" w:type="dxa"/>
            <w:shd w:val="clear" w:color="auto" w:fill="auto"/>
          </w:tcPr>
          <w:p w14:paraId="7B855FFC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606" w:type="dxa"/>
            <w:shd w:val="clear" w:color="auto" w:fill="auto"/>
          </w:tcPr>
          <w:p w14:paraId="46C03212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9" w:type="dxa"/>
            <w:shd w:val="clear" w:color="auto" w:fill="auto"/>
          </w:tcPr>
          <w:p w14:paraId="564DA931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850" w:type="dxa"/>
            <w:shd w:val="clear" w:color="auto" w:fill="auto"/>
          </w:tcPr>
          <w:p w14:paraId="7C608FAB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14:paraId="1F748F48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735" w:type="dxa"/>
            <w:shd w:val="clear" w:color="auto" w:fill="auto"/>
          </w:tcPr>
          <w:p w14:paraId="55A96FE2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975" w:type="dxa"/>
            <w:shd w:val="clear" w:color="auto" w:fill="auto"/>
          </w:tcPr>
          <w:p w14:paraId="603609D1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554" w:type="dxa"/>
            <w:shd w:val="clear" w:color="auto" w:fill="auto"/>
          </w:tcPr>
          <w:p w14:paraId="1423732A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7</w:t>
            </w:r>
          </w:p>
        </w:tc>
      </w:tr>
      <w:tr w:rsidR="00831F19" w:rsidRPr="00484042" w14:paraId="08998455" w14:textId="77777777" w:rsidTr="00CF4A51">
        <w:trPr>
          <w:trHeight w:val="458"/>
        </w:trPr>
        <w:tc>
          <w:tcPr>
            <w:tcW w:w="1487" w:type="dxa"/>
            <w:shd w:val="clear" w:color="auto" w:fill="auto"/>
            <w:vAlign w:val="center"/>
          </w:tcPr>
          <w:p w14:paraId="0EF20745" w14:textId="4397B2E8" w:rsidR="00831F19" w:rsidRPr="00484042" w:rsidRDefault="00831F19" w:rsidP="00831F19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484042">
              <w:rPr>
                <w:rFonts w:cs="Calibri"/>
                <w:sz w:val="18"/>
                <w:szCs w:val="18"/>
              </w:rPr>
              <w:t>Brocato</w:t>
            </w:r>
            <w:proofErr w:type="spellEnd"/>
            <w:r>
              <w:rPr>
                <w:rFonts w:cs="Calibri"/>
                <w:sz w:val="18"/>
                <w:szCs w:val="18"/>
              </w:rPr>
              <w:t>,</w:t>
            </w:r>
            <w:r w:rsidRPr="00484042">
              <w:rPr>
                <w:rFonts w:cs="Calibri"/>
                <w:sz w:val="18"/>
                <w:szCs w:val="18"/>
              </w:rPr>
              <w:t xml:space="preserve"> 2013</w:t>
            </w:r>
          </w:p>
        </w:tc>
        <w:tc>
          <w:tcPr>
            <w:tcW w:w="1175" w:type="dxa"/>
            <w:shd w:val="clear" w:color="auto" w:fill="auto"/>
          </w:tcPr>
          <w:p w14:paraId="760D95EA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7" w:type="dxa"/>
            <w:shd w:val="clear" w:color="auto" w:fill="auto"/>
          </w:tcPr>
          <w:p w14:paraId="023D2687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606" w:type="dxa"/>
            <w:shd w:val="clear" w:color="auto" w:fill="auto"/>
          </w:tcPr>
          <w:p w14:paraId="7EFBA789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9" w:type="dxa"/>
            <w:shd w:val="clear" w:color="auto" w:fill="auto"/>
          </w:tcPr>
          <w:p w14:paraId="17573034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850" w:type="dxa"/>
            <w:shd w:val="clear" w:color="auto" w:fill="auto"/>
          </w:tcPr>
          <w:p w14:paraId="06E107FF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⋆⋆</w:t>
            </w:r>
          </w:p>
        </w:tc>
        <w:tc>
          <w:tcPr>
            <w:tcW w:w="1154" w:type="dxa"/>
            <w:shd w:val="clear" w:color="auto" w:fill="auto"/>
          </w:tcPr>
          <w:p w14:paraId="01FC7198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735" w:type="dxa"/>
            <w:shd w:val="clear" w:color="auto" w:fill="auto"/>
          </w:tcPr>
          <w:p w14:paraId="4C9E9149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975" w:type="dxa"/>
            <w:shd w:val="clear" w:color="auto" w:fill="auto"/>
          </w:tcPr>
          <w:p w14:paraId="7A3878C8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554" w:type="dxa"/>
            <w:shd w:val="clear" w:color="auto" w:fill="auto"/>
          </w:tcPr>
          <w:p w14:paraId="637E8AA3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9</w:t>
            </w:r>
          </w:p>
        </w:tc>
      </w:tr>
      <w:tr w:rsidR="00831F19" w:rsidRPr="00484042" w14:paraId="34A8CBDC" w14:textId="77777777" w:rsidTr="00CF4A51">
        <w:trPr>
          <w:trHeight w:val="458"/>
        </w:trPr>
        <w:tc>
          <w:tcPr>
            <w:tcW w:w="1487" w:type="dxa"/>
            <w:shd w:val="clear" w:color="auto" w:fill="auto"/>
            <w:vAlign w:val="center"/>
          </w:tcPr>
          <w:p w14:paraId="047660B0" w14:textId="2DB7456D" w:rsidR="00831F19" w:rsidRPr="00484042" w:rsidRDefault="00831F19" w:rsidP="00831F19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Walton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484042">
              <w:rPr>
                <w:rFonts w:cs="Calibri"/>
                <w:sz w:val="18"/>
                <w:szCs w:val="18"/>
              </w:rPr>
              <w:t xml:space="preserve"> 2017</w:t>
            </w:r>
          </w:p>
        </w:tc>
        <w:tc>
          <w:tcPr>
            <w:tcW w:w="1175" w:type="dxa"/>
            <w:shd w:val="clear" w:color="auto" w:fill="auto"/>
          </w:tcPr>
          <w:p w14:paraId="4C67EF11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7" w:type="dxa"/>
            <w:shd w:val="clear" w:color="auto" w:fill="auto"/>
          </w:tcPr>
          <w:p w14:paraId="4A4B42AE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606" w:type="dxa"/>
            <w:shd w:val="clear" w:color="auto" w:fill="auto"/>
          </w:tcPr>
          <w:p w14:paraId="4449EF71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9" w:type="dxa"/>
            <w:shd w:val="clear" w:color="auto" w:fill="auto"/>
          </w:tcPr>
          <w:p w14:paraId="6373A0E8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850" w:type="dxa"/>
            <w:shd w:val="clear" w:color="auto" w:fill="auto"/>
          </w:tcPr>
          <w:p w14:paraId="65F0E2D5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⋆⋆</w:t>
            </w:r>
          </w:p>
        </w:tc>
        <w:tc>
          <w:tcPr>
            <w:tcW w:w="1154" w:type="dxa"/>
            <w:shd w:val="clear" w:color="auto" w:fill="auto"/>
          </w:tcPr>
          <w:p w14:paraId="653AFD90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735" w:type="dxa"/>
            <w:shd w:val="clear" w:color="auto" w:fill="auto"/>
          </w:tcPr>
          <w:p w14:paraId="231E64A4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975" w:type="dxa"/>
            <w:shd w:val="clear" w:color="auto" w:fill="auto"/>
          </w:tcPr>
          <w:p w14:paraId="6007AD8F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554" w:type="dxa"/>
            <w:shd w:val="clear" w:color="auto" w:fill="auto"/>
          </w:tcPr>
          <w:p w14:paraId="219A39D1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9</w:t>
            </w:r>
          </w:p>
        </w:tc>
      </w:tr>
      <w:tr w:rsidR="00831F19" w:rsidRPr="00484042" w14:paraId="41543C50" w14:textId="77777777" w:rsidTr="00CF4A51">
        <w:trPr>
          <w:trHeight w:val="469"/>
        </w:trPr>
        <w:tc>
          <w:tcPr>
            <w:tcW w:w="1487" w:type="dxa"/>
            <w:shd w:val="clear" w:color="auto" w:fill="auto"/>
            <w:vAlign w:val="center"/>
          </w:tcPr>
          <w:p w14:paraId="4AA194F5" w14:textId="59EB94FB" w:rsidR="00831F19" w:rsidRPr="00484042" w:rsidRDefault="00831F19" w:rsidP="00831F19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Dias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484042">
              <w:rPr>
                <w:rFonts w:cs="Calibri"/>
                <w:sz w:val="18"/>
                <w:szCs w:val="18"/>
              </w:rPr>
              <w:t xml:space="preserve"> 2019</w:t>
            </w:r>
          </w:p>
        </w:tc>
        <w:tc>
          <w:tcPr>
            <w:tcW w:w="1175" w:type="dxa"/>
            <w:shd w:val="clear" w:color="auto" w:fill="auto"/>
          </w:tcPr>
          <w:p w14:paraId="33DC5345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7" w:type="dxa"/>
            <w:shd w:val="clear" w:color="auto" w:fill="auto"/>
          </w:tcPr>
          <w:p w14:paraId="267356DC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606" w:type="dxa"/>
            <w:shd w:val="clear" w:color="auto" w:fill="auto"/>
          </w:tcPr>
          <w:p w14:paraId="31D7F2C4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9" w:type="dxa"/>
            <w:shd w:val="clear" w:color="auto" w:fill="auto"/>
          </w:tcPr>
          <w:p w14:paraId="44890F90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850" w:type="dxa"/>
            <w:shd w:val="clear" w:color="auto" w:fill="auto"/>
          </w:tcPr>
          <w:p w14:paraId="5926D04B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154" w:type="dxa"/>
            <w:shd w:val="clear" w:color="auto" w:fill="auto"/>
          </w:tcPr>
          <w:p w14:paraId="4111A3F0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735" w:type="dxa"/>
            <w:shd w:val="clear" w:color="auto" w:fill="auto"/>
          </w:tcPr>
          <w:p w14:paraId="5CCB0E18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975" w:type="dxa"/>
            <w:shd w:val="clear" w:color="auto" w:fill="auto"/>
          </w:tcPr>
          <w:p w14:paraId="74E89BBD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554" w:type="dxa"/>
            <w:shd w:val="clear" w:color="auto" w:fill="auto"/>
          </w:tcPr>
          <w:p w14:paraId="1AAB8684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8</w:t>
            </w:r>
          </w:p>
        </w:tc>
      </w:tr>
      <w:tr w:rsidR="00831F19" w:rsidRPr="00484042" w14:paraId="6E3C5473" w14:textId="77777777" w:rsidTr="00CF4A51">
        <w:trPr>
          <w:trHeight w:val="458"/>
        </w:trPr>
        <w:tc>
          <w:tcPr>
            <w:tcW w:w="1487" w:type="dxa"/>
            <w:shd w:val="clear" w:color="auto" w:fill="auto"/>
            <w:vAlign w:val="center"/>
          </w:tcPr>
          <w:p w14:paraId="579A920B" w14:textId="3DBF3FAB" w:rsidR="00831F19" w:rsidRPr="00484042" w:rsidRDefault="00831F19" w:rsidP="00831F19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Thornburg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484042">
              <w:rPr>
                <w:rFonts w:cs="Calibri"/>
                <w:sz w:val="18"/>
                <w:szCs w:val="18"/>
              </w:rPr>
              <w:t xml:space="preserve"> 2012</w:t>
            </w:r>
          </w:p>
        </w:tc>
        <w:tc>
          <w:tcPr>
            <w:tcW w:w="1175" w:type="dxa"/>
            <w:shd w:val="clear" w:color="auto" w:fill="auto"/>
          </w:tcPr>
          <w:p w14:paraId="5FE186B0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7" w:type="dxa"/>
            <w:shd w:val="clear" w:color="auto" w:fill="auto"/>
          </w:tcPr>
          <w:p w14:paraId="69F8EDD8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606" w:type="dxa"/>
            <w:shd w:val="clear" w:color="auto" w:fill="auto"/>
          </w:tcPr>
          <w:p w14:paraId="0DC9647E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9" w:type="dxa"/>
            <w:shd w:val="clear" w:color="auto" w:fill="auto"/>
          </w:tcPr>
          <w:p w14:paraId="0220F445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850" w:type="dxa"/>
            <w:shd w:val="clear" w:color="auto" w:fill="auto"/>
          </w:tcPr>
          <w:p w14:paraId="45479AE9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154" w:type="dxa"/>
            <w:shd w:val="clear" w:color="auto" w:fill="auto"/>
          </w:tcPr>
          <w:p w14:paraId="670EBE0D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735" w:type="dxa"/>
            <w:shd w:val="clear" w:color="auto" w:fill="auto"/>
          </w:tcPr>
          <w:p w14:paraId="3B9DEEA9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975" w:type="dxa"/>
            <w:shd w:val="clear" w:color="auto" w:fill="auto"/>
          </w:tcPr>
          <w:p w14:paraId="34D99F7D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554" w:type="dxa"/>
            <w:shd w:val="clear" w:color="auto" w:fill="auto"/>
          </w:tcPr>
          <w:p w14:paraId="1BC84CF0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8</w:t>
            </w:r>
          </w:p>
        </w:tc>
      </w:tr>
      <w:tr w:rsidR="00831F19" w:rsidRPr="00484042" w14:paraId="0ED1EA9F" w14:textId="77777777" w:rsidTr="00CF4A51">
        <w:trPr>
          <w:trHeight w:val="458"/>
        </w:trPr>
        <w:tc>
          <w:tcPr>
            <w:tcW w:w="1487" w:type="dxa"/>
            <w:shd w:val="clear" w:color="auto" w:fill="auto"/>
            <w:vAlign w:val="center"/>
          </w:tcPr>
          <w:p w14:paraId="1B80A1A3" w14:textId="2B737F5E" w:rsidR="00831F19" w:rsidRPr="00484042" w:rsidRDefault="00831F19" w:rsidP="00831F19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McLean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484042">
              <w:rPr>
                <w:rFonts w:cs="Calibri"/>
                <w:sz w:val="18"/>
                <w:szCs w:val="18"/>
              </w:rPr>
              <w:t xml:space="preserve"> 2011</w:t>
            </w:r>
          </w:p>
        </w:tc>
        <w:tc>
          <w:tcPr>
            <w:tcW w:w="1175" w:type="dxa"/>
            <w:shd w:val="clear" w:color="auto" w:fill="auto"/>
          </w:tcPr>
          <w:p w14:paraId="30C5A662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7" w:type="dxa"/>
            <w:shd w:val="clear" w:color="auto" w:fill="auto"/>
          </w:tcPr>
          <w:p w14:paraId="298CD1F9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606" w:type="dxa"/>
            <w:shd w:val="clear" w:color="auto" w:fill="auto"/>
          </w:tcPr>
          <w:p w14:paraId="1A60052B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9" w:type="dxa"/>
            <w:shd w:val="clear" w:color="auto" w:fill="auto"/>
          </w:tcPr>
          <w:p w14:paraId="70B2EF93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850" w:type="dxa"/>
            <w:shd w:val="clear" w:color="auto" w:fill="auto"/>
          </w:tcPr>
          <w:p w14:paraId="1B9DDA02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154" w:type="dxa"/>
            <w:shd w:val="clear" w:color="auto" w:fill="auto"/>
          </w:tcPr>
          <w:p w14:paraId="11C13F18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735" w:type="dxa"/>
            <w:shd w:val="clear" w:color="auto" w:fill="auto"/>
          </w:tcPr>
          <w:p w14:paraId="3D9E3052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975" w:type="dxa"/>
            <w:shd w:val="clear" w:color="auto" w:fill="auto"/>
          </w:tcPr>
          <w:p w14:paraId="78B080E5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554" w:type="dxa"/>
            <w:shd w:val="clear" w:color="auto" w:fill="auto"/>
          </w:tcPr>
          <w:p w14:paraId="264DB97E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8</w:t>
            </w:r>
          </w:p>
        </w:tc>
      </w:tr>
      <w:tr w:rsidR="00831F19" w:rsidRPr="00484042" w14:paraId="6F96C766" w14:textId="77777777" w:rsidTr="00CF4A51">
        <w:trPr>
          <w:trHeight w:val="469"/>
        </w:trPr>
        <w:tc>
          <w:tcPr>
            <w:tcW w:w="1487" w:type="dxa"/>
            <w:shd w:val="clear" w:color="auto" w:fill="auto"/>
            <w:vAlign w:val="center"/>
          </w:tcPr>
          <w:p w14:paraId="2622930E" w14:textId="08E9F159" w:rsidR="00831F19" w:rsidRPr="00484042" w:rsidRDefault="00831F19" w:rsidP="00831F19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Wall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484042">
              <w:rPr>
                <w:rFonts w:cs="Calibri"/>
                <w:sz w:val="18"/>
                <w:szCs w:val="18"/>
              </w:rPr>
              <w:t xml:space="preserve"> 2003</w:t>
            </w:r>
          </w:p>
        </w:tc>
        <w:tc>
          <w:tcPr>
            <w:tcW w:w="1175" w:type="dxa"/>
            <w:shd w:val="clear" w:color="auto" w:fill="auto"/>
          </w:tcPr>
          <w:p w14:paraId="177049E5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7" w:type="dxa"/>
            <w:shd w:val="clear" w:color="auto" w:fill="auto"/>
          </w:tcPr>
          <w:p w14:paraId="49CF8672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606" w:type="dxa"/>
            <w:shd w:val="clear" w:color="auto" w:fill="auto"/>
          </w:tcPr>
          <w:p w14:paraId="39659C5B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1419" w:type="dxa"/>
            <w:shd w:val="clear" w:color="auto" w:fill="auto"/>
          </w:tcPr>
          <w:p w14:paraId="0A2C19D7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850" w:type="dxa"/>
            <w:shd w:val="clear" w:color="auto" w:fill="auto"/>
          </w:tcPr>
          <w:p w14:paraId="58E80B38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14:paraId="5903536F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735" w:type="dxa"/>
            <w:shd w:val="clear" w:color="auto" w:fill="auto"/>
          </w:tcPr>
          <w:p w14:paraId="6FA4BF55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975" w:type="dxa"/>
            <w:shd w:val="clear" w:color="auto" w:fill="auto"/>
          </w:tcPr>
          <w:p w14:paraId="1E4D234E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ascii="Cambria Math" w:hAnsi="Cambria Math" w:cs="Cambria Math"/>
                <w:sz w:val="18"/>
                <w:szCs w:val="18"/>
              </w:rPr>
              <w:t>⋆</w:t>
            </w:r>
          </w:p>
        </w:tc>
        <w:tc>
          <w:tcPr>
            <w:tcW w:w="554" w:type="dxa"/>
            <w:shd w:val="clear" w:color="auto" w:fill="auto"/>
          </w:tcPr>
          <w:p w14:paraId="105031E5" w14:textId="77777777" w:rsidR="00831F19" w:rsidRPr="00484042" w:rsidRDefault="00831F19" w:rsidP="00831F19">
            <w:pPr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7</w:t>
            </w:r>
          </w:p>
        </w:tc>
      </w:tr>
    </w:tbl>
    <w:p w14:paraId="79F8BF22" w14:textId="77777777" w:rsidR="00CF4A51" w:rsidRPr="00CF4A51" w:rsidRDefault="00CF4A51" w:rsidP="00A1709C">
      <w:pPr>
        <w:jc w:val="center"/>
        <w:rPr>
          <w:rFonts w:ascii="Times New Roman" w:hAnsi="Times New Roman" w:cs="Times New Roman"/>
          <w:b/>
          <w:bCs/>
        </w:rPr>
      </w:pPr>
    </w:p>
    <w:p w14:paraId="51597B72" w14:textId="3D622A2C" w:rsidR="00A1709C" w:rsidRPr="00CF4A51" w:rsidRDefault="00A1709C" w:rsidP="00A1709C">
      <w:pPr>
        <w:jc w:val="center"/>
        <w:rPr>
          <w:rFonts w:ascii="Times New Roman" w:hAnsi="Times New Roman" w:cs="Times New Roman"/>
        </w:rPr>
      </w:pPr>
      <w:r w:rsidRPr="00CF4A51">
        <w:rPr>
          <w:rFonts w:ascii="Times New Roman" w:hAnsi="Times New Roman" w:cs="Times New Roman"/>
          <w:b/>
          <w:bCs/>
        </w:rPr>
        <w:t>Appendix 2b:</w:t>
      </w:r>
      <w:r w:rsidRPr="00CF4A51">
        <w:rPr>
          <w:rFonts w:ascii="Times New Roman" w:hAnsi="Times New Roman" w:cs="Times New Roman"/>
        </w:rPr>
        <w:t xml:space="preserve"> </w:t>
      </w:r>
      <w:r w:rsidRPr="00CF4A51">
        <w:rPr>
          <w:rFonts w:ascii="Times New Roman" w:hAnsi="Times New Roman" w:cs="Times New Roman"/>
          <w:lang w:bidi="ar-EG"/>
        </w:rPr>
        <w:t>Authors' judgments and justifications of the included RCT</w:t>
      </w:r>
      <w:r w:rsidRPr="00CF4A51">
        <w:rPr>
          <w:rFonts w:ascii="Times New Roman" w:hAnsi="Times New Roman" w:cs="Times New Roman"/>
        </w:rPr>
        <w:t xml:space="preserve"> using Cochrane assessment table for the risk of bias</w:t>
      </w:r>
      <w:r w:rsidRPr="00CF4A51">
        <w:rPr>
          <w:rFonts w:ascii="Times New Roman" w:hAnsi="Times New Roman" w:cs="Times New Roman"/>
          <w:lang w:bidi="ar-EG"/>
        </w:rPr>
        <w:t>.</w:t>
      </w:r>
    </w:p>
    <w:tbl>
      <w:tblPr>
        <w:bidiVisual/>
        <w:tblW w:w="11425" w:type="dxa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2610"/>
        <w:gridCol w:w="2880"/>
      </w:tblGrid>
      <w:tr w:rsidR="00A1709C" w:rsidRPr="00484042" w14:paraId="2A92E745" w14:textId="77777777" w:rsidTr="00831F19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1E43E9F7" w14:textId="77777777" w:rsidR="00A1709C" w:rsidRPr="00484042" w:rsidRDefault="00A1709C" w:rsidP="00D46D19">
            <w:pPr>
              <w:rPr>
                <w:rFonts w:cs="Calibri"/>
                <w:b/>
                <w:bCs/>
                <w:color w:val="FFFFFF"/>
                <w:sz w:val="18"/>
                <w:szCs w:val="18"/>
                <w:lang w:bidi="ar-EG"/>
              </w:rPr>
            </w:pPr>
            <w:r w:rsidRPr="00484042">
              <w:rPr>
                <w:rFonts w:cs="Calibri"/>
                <w:b/>
                <w:bCs/>
                <w:color w:val="FFFFFF"/>
                <w:sz w:val="18"/>
                <w:szCs w:val="18"/>
                <w:lang w:bidi="ar-EG"/>
              </w:rPr>
              <w:t>Reason/Quotation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2E735C5C" w14:textId="77777777" w:rsidR="00A1709C" w:rsidRPr="00484042" w:rsidRDefault="00A1709C" w:rsidP="00D46D19">
            <w:pPr>
              <w:rPr>
                <w:rFonts w:cs="Calibri"/>
                <w:b/>
                <w:bCs/>
                <w:color w:val="FFFFFF"/>
                <w:sz w:val="18"/>
                <w:szCs w:val="18"/>
                <w:lang w:bidi="ar-EG"/>
              </w:rPr>
            </w:pPr>
            <w:r w:rsidRPr="00484042">
              <w:rPr>
                <w:rFonts w:cs="Calibri"/>
                <w:b/>
                <w:bCs/>
                <w:color w:val="FFFFFF"/>
                <w:sz w:val="18"/>
                <w:szCs w:val="18"/>
                <w:lang w:bidi="ar-EG"/>
              </w:rPr>
              <w:t>Risk of bias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1AAAEEAB" w14:textId="77777777" w:rsidR="00A1709C" w:rsidRPr="00484042" w:rsidRDefault="00A1709C" w:rsidP="00D46D19">
            <w:pPr>
              <w:spacing w:before="100" w:beforeAutospacing="1" w:after="100" w:afterAutospacing="1"/>
              <w:outlineLvl w:val="2"/>
              <w:rPr>
                <w:rFonts w:eastAsia="Times New Roman" w:cs="Calibri"/>
                <w:b/>
                <w:bCs/>
                <w:color w:val="FFFFFF"/>
                <w:sz w:val="18"/>
                <w:szCs w:val="18"/>
                <w:rtl/>
              </w:rPr>
            </w:pPr>
            <w:r w:rsidRPr="00484042">
              <w:rPr>
                <w:rFonts w:cs="Calibri"/>
                <w:b/>
                <w:bCs/>
                <w:color w:val="FFFFFF"/>
                <w:sz w:val="18"/>
                <w:szCs w:val="18"/>
              </w:rPr>
              <w:t>Marrs 2018</w:t>
            </w:r>
          </w:p>
        </w:tc>
      </w:tr>
      <w:tr w:rsidR="00A1709C" w:rsidRPr="00484042" w14:paraId="09B499BC" w14:textId="77777777" w:rsidTr="00831F19">
        <w:trPr>
          <w:trHeight w:val="422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110A" w14:textId="77777777" w:rsidR="00A1709C" w:rsidRPr="00484042" w:rsidRDefault="00A1709C" w:rsidP="00A170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dvTT31ea7dbe" w:hAnsi="AdvTT31ea7dbe" w:cs="AdvTT31ea7dbe"/>
                <w:sz w:val="17"/>
                <w:szCs w:val="17"/>
              </w:rPr>
            </w:pPr>
            <w:r w:rsidRPr="00484042">
              <w:rPr>
                <w:rFonts w:ascii="AdvTT31ea7dbe" w:hAnsi="AdvTT31ea7dbe" w:cs="AdvTT31ea7dbe"/>
                <w:sz w:val="17"/>
                <w:szCs w:val="17"/>
              </w:rPr>
              <w:t>Randomization was computer-generated 1:1 randomization with strati</w:t>
            </w:r>
            <w:r w:rsidRPr="00484042">
              <w:rPr>
                <w:rFonts w:ascii="AdvTT31ea7dbe+fb" w:hAnsi="AdvTT31ea7dbe" w:cs="AdvTT31ea7dbe+fb"/>
                <w:sz w:val="17"/>
                <w:szCs w:val="17"/>
              </w:rPr>
              <w:t>fi</w:t>
            </w:r>
            <w:r w:rsidRPr="00484042">
              <w:rPr>
                <w:rFonts w:ascii="AdvTT31ea7dbe" w:hAnsi="AdvTT31ea7dbe" w:cs="AdvTT31ea7dbe"/>
                <w:sz w:val="17"/>
                <w:szCs w:val="17"/>
              </w:rPr>
              <w:t>cation for site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97B5" w14:textId="77777777" w:rsidR="00A1709C" w:rsidRPr="00484042" w:rsidRDefault="00A1709C" w:rsidP="00A1709C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Low risk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C3E2" w14:textId="77777777" w:rsidR="00A1709C" w:rsidRPr="00484042" w:rsidRDefault="00A1709C" w:rsidP="00A1709C">
            <w:pPr>
              <w:jc w:val="right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Random sequence generation (selection bias)</w:t>
            </w:r>
          </w:p>
        </w:tc>
      </w:tr>
      <w:tr w:rsidR="00A1709C" w:rsidRPr="00484042" w14:paraId="5B5BFD75" w14:textId="77777777" w:rsidTr="00831F19">
        <w:trPr>
          <w:trHeight w:val="746"/>
        </w:trPr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7299" w14:textId="77777777" w:rsidR="00A1709C" w:rsidRPr="00484042" w:rsidRDefault="00A1709C" w:rsidP="00A170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dvTT31ea7dbe" w:hAnsi="AdvTT31ea7dbe" w:cs="AdvTT31ea7dbe"/>
                <w:sz w:val="17"/>
                <w:szCs w:val="17"/>
              </w:rPr>
            </w:pPr>
            <w:r w:rsidRPr="00484042">
              <w:rPr>
                <w:rFonts w:ascii="AdvTT31ea7dbe" w:hAnsi="AdvTT31ea7dbe" w:cs="AdvTT31ea7dbe"/>
                <w:sz w:val="17"/>
                <w:szCs w:val="17"/>
              </w:rPr>
              <w:t>Randomization sequences were created for each site, and ordered opaque envelopes were created by the principal investigator. Randomization envelopes were kept in a secure location in the operating suite at each site.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455B" w14:textId="77777777" w:rsidR="00A1709C" w:rsidRPr="00484042" w:rsidRDefault="00A1709C" w:rsidP="00A1709C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Low risk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6B95" w14:textId="77777777" w:rsidR="00A1709C" w:rsidRPr="00484042" w:rsidRDefault="00A1709C" w:rsidP="00A1709C">
            <w:pPr>
              <w:jc w:val="right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Allocation concealment (selection bias)</w:t>
            </w:r>
          </w:p>
        </w:tc>
      </w:tr>
      <w:tr w:rsidR="00A1709C" w:rsidRPr="00484042" w14:paraId="3EAA4787" w14:textId="77777777" w:rsidTr="00831F19">
        <w:trPr>
          <w:trHeight w:val="530"/>
        </w:trPr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5289" w14:textId="77777777" w:rsidR="00A1709C" w:rsidRPr="00484042" w:rsidRDefault="00A1709C" w:rsidP="00A1709C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  <w:r w:rsidRPr="00484042">
              <w:rPr>
                <w:rFonts w:ascii="Calibri" w:hAnsi="Calibri" w:cs="Calibri"/>
                <w:sz w:val="18"/>
                <w:szCs w:val="18"/>
              </w:rPr>
              <w:t>Masking of the physician or patient to the assignment was not feasible due to the nature of intervention.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3439" w14:textId="77777777" w:rsidR="00A1709C" w:rsidRPr="00484042" w:rsidRDefault="00A1709C" w:rsidP="00A1709C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Low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629F" w14:textId="77777777" w:rsidR="00A1709C" w:rsidRPr="00484042" w:rsidRDefault="00A1709C" w:rsidP="00A1709C">
            <w:pPr>
              <w:jc w:val="right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Blinding of participants and personnel (performance bias)</w:t>
            </w:r>
          </w:p>
        </w:tc>
      </w:tr>
      <w:tr w:rsidR="00A1709C" w:rsidRPr="00484042" w14:paraId="75C6E20D" w14:textId="77777777" w:rsidTr="00831F19">
        <w:trPr>
          <w:trHeight w:val="512"/>
        </w:trPr>
        <w:tc>
          <w:tcPr>
            <w:tcW w:w="5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D0C0" w14:textId="77777777" w:rsidR="00A1709C" w:rsidRPr="00484042" w:rsidRDefault="00A1709C" w:rsidP="00A1709C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CE6" w14:textId="77777777" w:rsidR="00A1709C" w:rsidRPr="00484042" w:rsidRDefault="00A1709C" w:rsidP="00A1709C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Low risk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A168" w14:textId="77777777" w:rsidR="00A1709C" w:rsidRPr="00484042" w:rsidRDefault="00A1709C" w:rsidP="00A1709C">
            <w:pPr>
              <w:jc w:val="right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Blinding of outcome assessment (detection bias)</w:t>
            </w:r>
          </w:p>
        </w:tc>
      </w:tr>
      <w:tr w:rsidR="00A1709C" w:rsidRPr="00484042" w14:paraId="63FF405E" w14:textId="77777777" w:rsidTr="00831F19">
        <w:trPr>
          <w:trHeight w:val="503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13AB" w14:textId="77777777" w:rsidR="00A1709C" w:rsidRPr="00484042" w:rsidRDefault="00A1709C" w:rsidP="00A1709C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  <w:r w:rsidRPr="00484042">
              <w:rPr>
                <w:rFonts w:ascii="Calibri" w:hAnsi="Calibri" w:cs="Calibri"/>
                <w:sz w:val="18"/>
                <w:szCs w:val="18"/>
              </w:rPr>
              <w:t>No loss to follow-up.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6635" w14:textId="77777777" w:rsidR="00A1709C" w:rsidRPr="00484042" w:rsidRDefault="00A1709C" w:rsidP="00A1709C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Low risk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C5FD" w14:textId="77777777" w:rsidR="00A1709C" w:rsidRPr="00484042" w:rsidRDefault="00A1709C" w:rsidP="00A1709C">
            <w:pPr>
              <w:jc w:val="right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Incomplete outcome data (attrition bias)</w:t>
            </w:r>
          </w:p>
        </w:tc>
      </w:tr>
      <w:tr w:rsidR="00A1709C" w:rsidRPr="00484042" w14:paraId="6BFCEB14" w14:textId="77777777" w:rsidTr="00831F19">
        <w:trPr>
          <w:trHeight w:val="539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3E99" w14:textId="77777777" w:rsidR="00A1709C" w:rsidRPr="00484042" w:rsidRDefault="00A1709C" w:rsidP="00A1709C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  <w:r w:rsidRPr="00484042">
              <w:rPr>
                <w:rFonts w:ascii="Calibri" w:hAnsi="Calibri" w:cs="Calibri"/>
                <w:sz w:val="18"/>
                <w:szCs w:val="18"/>
              </w:rPr>
              <w:t>All outcomes were reported.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555D" w14:textId="77777777" w:rsidR="00A1709C" w:rsidRPr="00484042" w:rsidRDefault="00A1709C" w:rsidP="00A1709C">
            <w:pPr>
              <w:jc w:val="center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Low risk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AC33" w14:textId="77777777" w:rsidR="00A1709C" w:rsidRPr="00484042" w:rsidRDefault="00A1709C" w:rsidP="00A1709C">
            <w:pPr>
              <w:jc w:val="right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Selective reporting (reporting bias)</w:t>
            </w:r>
          </w:p>
        </w:tc>
      </w:tr>
      <w:tr w:rsidR="00A1709C" w:rsidRPr="00484042" w14:paraId="71B9BBF2" w14:textId="77777777" w:rsidTr="00831F19">
        <w:trPr>
          <w:trHeight w:val="413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433" w14:textId="77777777" w:rsidR="00A1709C" w:rsidRPr="00484042" w:rsidRDefault="00A1709C" w:rsidP="00A1709C">
            <w:pPr>
              <w:spacing w:before="100"/>
              <w:jc w:val="right"/>
              <w:rPr>
                <w:rFonts w:cs="Calibri"/>
                <w:sz w:val="18"/>
                <w:szCs w:val="18"/>
                <w:lang w:bidi="ar-EG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2523" w14:textId="77777777" w:rsidR="00A1709C" w:rsidRPr="00484042" w:rsidRDefault="00A1709C" w:rsidP="00A1709C">
            <w:pPr>
              <w:jc w:val="center"/>
              <w:rPr>
                <w:rFonts w:cs="Calibri"/>
                <w:sz w:val="18"/>
                <w:szCs w:val="18"/>
                <w:lang w:bidi="ar-EG"/>
              </w:rPr>
            </w:pPr>
            <w:r w:rsidRPr="00484042">
              <w:rPr>
                <w:rFonts w:cs="Calibri"/>
                <w:sz w:val="18"/>
                <w:szCs w:val="18"/>
                <w:lang w:bidi="ar-EG"/>
              </w:rPr>
              <w:t>Unclear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65D0" w14:textId="77777777" w:rsidR="00A1709C" w:rsidRPr="00484042" w:rsidRDefault="00A1709C" w:rsidP="00A1709C">
            <w:pPr>
              <w:jc w:val="right"/>
              <w:rPr>
                <w:rFonts w:cs="Calibri"/>
                <w:sz w:val="18"/>
                <w:szCs w:val="18"/>
              </w:rPr>
            </w:pPr>
            <w:r w:rsidRPr="00484042">
              <w:rPr>
                <w:rFonts w:cs="Calibri"/>
                <w:sz w:val="18"/>
                <w:szCs w:val="18"/>
              </w:rPr>
              <w:t>Other bias</w:t>
            </w:r>
          </w:p>
        </w:tc>
      </w:tr>
    </w:tbl>
    <w:tbl>
      <w:tblPr>
        <w:tblpPr w:leftFromText="180" w:rightFromText="180" w:vertAnchor="page" w:horzAnchor="margin" w:tblpXSpec="center" w:tblpY="1821"/>
        <w:tblW w:w="6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523"/>
        <w:gridCol w:w="778"/>
        <w:gridCol w:w="768"/>
        <w:gridCol w:w="854"/>
        <w:gridCol w:w="816"/>
        <w:gridCol w:w="805"/>
        <w:gridCol w:w="807"/>
        <w:gridCol w:w="897"/>
        <w:gridCol w:w="807"/>
        <w:gridCol w:w="1257"/>
        <w:gridCol w:w="1074"/>
      </w:tblGrid>
      <w:tr w:rsidR="00B84853" w:rsidRPr="00712611" w14:paraId="5928EA56" w14:textId="77777777" w:rsidTr="00CF4A51">
        <w:trPr>
          <w:trHeight w:val="594"/>
        </w:trPr>
        <w:tc>
          <w:tcPr>
            <w:tcW w:w="405" w:type="pct"/>
            <w:vAlign w:val="center"/>
          </w:tcPr>
          <w:p w14:paraId="195C032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Author, year</w:t>
            </w:r>
          </w:p>
        </w:tc>
        <w:tc>
          <w:tcPr>
            <w:tcW w:w="674" w:type="pct"/>
            <w:vAlign w:val="center"/>
          </w:tcPr>
          <w:p w14:paraId="79F1F48A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Number of Patients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23F384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Age</w:t>
            </w:r>
            <w:r w:rsidRPr="00712611" w:rsidDel="0000205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br/>
              <w:t>(y)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E5E2BF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Gestational age (</w:t>
            </w:r>
            <w:proofErr w:type="spellStart"/>
            <w:r>
              <w:rPr>
                <w:rFonts w:cs="Calibri"/>
                <w:sz w:val="18"/>
                <w:szCs w:val="18"/>
              </w:rPr>
              <w:t>wk</w:t>
            </w:r>
            <w:proofErr w:type="spellEnd"/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DCA9E51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BMI (kg/m</w:t>
            </w:r>
            <w:r w:rsidRPr="00712611"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1286A9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Chronic HTN</w:t>
            </w:r>
          </w:p>
        </w:tc>
        <w:tc>
          <w:tcPr>
            <w:tcW w:w="356" w:type="pct"/>
            <w:vAlign w:val="center"/>
          </w:tcPr>
          <w:p w14:paraId="468EACB3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Diabetes</w:t>
            </w:r>
          </w:p>
        </w:tc>
        <w:tc>
          <w:tcPr>
            <w:tcW w:w="357" w:type="pct"/>
            <w:vAlign w:val="center"/>
          </w:tcPr>
          <w:p w14:paraId="6A843A8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Tobacco Use</w:t>
            </w:r>
          </w:p>
        </w:tc>
        <w:tc>
          <w:tcPr>
            <w:tcW w:w="397" w:type="pct"/>
            <w:vAlign w:val="center"/>
          </w:tcPr>
          <w:p w14:paraId="6DC6FFC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Preeclampsia</w:t>
            </w:r>
          </w:p>
        </w:tc>
        <w:tc>
          <w:tcPr>
            <w:tcW w:w="357" w:type="pct"/>
            <w:vAlign w:val="center"/>
          </w:tcPr>
          <w:p w14:paraId="06502761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Antibiotics prophylaxis</w:t>
            </w:r>
          </w:p>
        </w:tc>
        <w:tc>
          <w:tcPr>
            <w:tcW w:w="556" w:type="pct"/>
            <w:vAlign w:val="center"/>
          </w:tcPr>
          <w:p w14:paraId="4C0367DD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Tubal liga</w:t>
            </w:r>
            <w:r>
              <w:rPr>
                <w:rFonts w:cs="Calibri"/>
                <w:sz w:val="18"/>
                <w:szCs w:val="18"/>
              </w:rPr>
              <w:t>tion</w:t>
            </w:r>
          </w:p>
        </w:tc>
        <w:tc>
          <w:tcPr>
            <w:tcW w:w="475" w:type="pct"/>
            <w:vAlign w:val="center"/>
          </w:tcPr>
          <w:p w14:paraId="39B468E5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br/>
              <w:t>Classical hysterotomy</w:t>
            </w:r>
          </w:p>
        </w:tc>
      </w:tr>
      <w:tr w:rsidR="00B84853" w:rsidRPr="00712611" w14:paraId="47F72734" w14:textId="77777777" w:rsidTr="00CF4A51">
        <w:trPr>
          <w:trHeight w:val="131"/>
        </w:trPr>
        <w:tc>
          <w:tcPr>
            <w:tcW w:w="405" w:type="pct"/>
            <w:vMerge w:val="restart"/>
            <w:vAlign w:val="center"/>
          </w:tcPr>
          <w:p w14:paraId="11B2DA95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Sutton, 2015</w:t>
            </w:r>
          </w:p>
        </w:tc>
        <w:tc>
          <w:tcPr>
            <w:tcW w:w="674" w:type="pct"/>
            <w:vAlign w:val="center"/>
          </w:tcPr>
          <w:p w14:paraId="15784AD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364 in </w:t>
            </w:r>
            <w:proofErr w:type="spellStart"/>
            <w:r w:rsidRPr="00712611">
              <w:rPr>
                <w:rFonts w:cs="Calibri"/>
                <w:sz w:val="18"/>
                <w:szCs w:val="18"/>
              </w:rPr>
              <w:t>Subpannicular</w:t>
            </w:r>
            <w:proofErr w:type="spellEnd"/>
            <w:r w:rsidRPr="00712611">
              <w:rPr>
                <w:rFonts w:cs="Calibri"/>
                <w:sz w:val="18"/>
                <w:szCs w:val="18"/>
              </w:rPr>
              <w:t xml:space="preserve"> Transverse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2DBE33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28.1 ± 6.3 </w:t>
            </w:r>
            <w:r w:rsidRPr="00712611">
              <w:rPr>
                <w:rFonts w:cs="Calibri"/>
                <w:sz w:val="18"/>
                <w:szCs w:val="18"/>
              </w:rPr>
              <w:br/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8A9596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38.7 ± 1.5 </w:t>
            </w:r>
            <w:r w:rsidRPr="00712611">
              <w:rPr>
                <w:rFonts w:cs="Calibri"/>
                <w:sz w:val="18"/>
                <w:szCs w:val="18"/>
              </w:rPr>
              <w:br/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3D88243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47.6 ± 6.2 </w:t>
            </w:r>
            <w:r w:rsidRPr="00712611">
              <w:rPr>
                <w:rFonts w:cs="Calibri"/>
                <w:sz w:val="18"/>
                <w:szCs w:val="18"/>
              </w:rPr>
              <w:br/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40A321D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101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 xml:space="preserve">27.8) </w:t>
            </w:r>
            <w:r w:rsidRPr="00712611">
              <w:rPr>
                <w:rFonts w:cs="Calibri"/>
                <w:sz w:val="18"/>
                <w:szCs w:val="18"/>
              </w:rPr>
              <w:br/>
            </w:r>
          </w:p>
        </w:tc>
        <w:tc>
          <w:tcPr>
            <w:tcW w:w="356" w:type="pct"/>
            <w:vAlign w:val="center"/>
          </w:tcPr>
          <w:p w14:paraId="163139F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104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 xml:space="preserve">28.7) </w:t>
            </w:r>
            <w:r w:rsidRPr="00712611">
              <w:rPr>
                <w:rFonts w:cs="Calibri"/>
                <w:sz w:val="18"/>
                <w:szCs w:val="18"/>
              </w:rPr>
              <w:br/>
            </w:r>
          </w:p>
        </w:tc>
        <w:tc>
          <w:tcPr>
            <w:tcW w:w="357" w:type="pct"/>
            <w:vMerge w:val="restart"/>
            <w:vAlign w:val="center"/>
          </w:tcPr>
          <w:p w14:paraId="798A3BE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97" w:type="pct"/>
            <w:vMerge w:val="restart"/>
            <w:vAlign w:val="center"/>
          </w:tcPr>
          <w:p w14:paraId="4729186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57" w:type="pct"/>
            <w:vMerge w:val="restart"/>
            <w:vAlign w:val="center"/>
          </w:tcPr>
          <w:p w14:paraId="0E9B3C8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556" w:type="pct"/>
            <w:vMerge w:val="restart"/>
            <w:vAlign w:val="center"/>
          </w:tcPr>
          <w:p w14:paraId="746EF271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475" w:type="pct"/>
            <w:vAlign w:val="center"/>
          </w:tcPr>
          <w:p w14:paraId="5F57D79A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t>10 (2.8)</w:t>
            </w:r>
          </w:p>
        </w:tc>
      </w:tr>
      <w:tr w:rsidR="00B84853" w:rsidRPr="00712611" w14:paraId="2BCDF14C" w14:textId="77777777" w:rsidTr="00CF4A51">
        <w:trPr>
          <w:trHeight w:val="343"/>
        </w:trPr>
        <w:tc>
          <w:tcPr>
            <w:tcW w:w="405" w:type="pct"/>
            <w:vMerge/>
            <w:vAlign w:val="center"/>
          </w:tcPr>
          <w:p w14:paraId="6FA7E42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16E9C74D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57 in Vertical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18FA1ED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31.4 ± 5.4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E43C97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38.0 ± 1.5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99538F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54.5 ± 12.1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CB842C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26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45.6)</w:t>
            </w:r>
          </w:p>
        </w:tc>
        <w:tc>
          <w:tcPr>
            <w:tcW w:w="356" w:type="pct"/>
            <w:vAlign w:val="center"/>
          </w:tcPr>
          <w:p w14:paraId="23E7030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35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62.5)</w:t>
            </w:r>
          </w:p>
        </w:tc>
        <w:tc>
          <w:tcPr>
            <w:tcW w:w="357" w:type="pct"/>
            <w:vMerge/>
            <w:vAlign w:val="center"/>
          </w:tcPr>
          <w:p w14:paraId="706C97A8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1102FFF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14:paraId="3B2385C5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14:paraId="5CCFAFE1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14:paraId="269B385C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t>21</w:t>
            </w:r>
            <w:r w:rsidRPr="00974668">
              <w:rPr>
                <w:rFonts w:cs="Calibri" w:hint="cs"/>
                <w:sz w:val="18"/>
                <w:szCs w:val="18"/>
                <w:rtl/>
              </w:rPr>
              <w:t xml:space="preserve"> </w:t>
            </w:r>
            <w:r w:rsidRPr="00974668">
              <w:rPr>
                <w:rFonts w:cs="Calibri"/>
                <w:sz w:val="18"/>
                <w:szCs w:val="18"/>
              </w:rPr>
              <w:t>(36.8)</w:t>
            </w:r>
          </w:p>
        </w:tc>
      </w:tr>
      <w:tr w:rsidR="00B84853" w:rsidRPr="00712611" w14:paraId="5DD21DFF" w14:textId="77777777" w:rsidTr="00CF4A51">
        <w:trPr>
          <w:trHeight w:val="240"/>
        </w:trPr>
        <w:tc>
          <w:tcPr>
            <w:tcW w:w="405" w:type="pct"/>
            <w:vMerge w:val="restart"/>
            <w:vAlign w:val="center"/>
          </w:tcPr>
          <w:p w14:paraId="16AEBC3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Bell, 2011</w:t>
            </w:r>
          </w:p>
        </w:tc>
        <w:tc>
          <w:tcPr>
            <w:tcW w:w="674" w:type="pct"/>
            <w:vAlign w:val="center"/>
          </w:tcPr>
          <w:p w14:paraId="48774805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383 in Low Transverse 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312D0F1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26.7 ± 5.8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3E68153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37.7 ± 3.3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CFC037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41.7 ± 6.7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B1E2D3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56" w:type="pct"/>
            <w:vMerge w:val="restart"/>
            <w:vAlign w:val="center"/>
          </w:tcPr>
          <w:p w14:paraId="5FBAA021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57" w:type="pct"/>
            <w:vMerge w:val="restart"/>
            <w:vAlign w:val="center"/>
          </w:tcPr>
          <w:p w14:paraId="159DEE74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97" w:type="pct"/>
            <w:vMerge w:val="restart"/>
            <w:vAlign w:val="center"/>
          </w:tcPr>
          <w:p w14:paraId="66D1912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57" w:type="pct"/>
            <w:vMerge w:val="restart"/>
            <w:vAlign w:val="center"/>
          </w:tcPr>
          <w:p w14:paraId="10BAB481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556" w:type="pct"/>
            <w:vAlign w:val="center"/>
          </w:tcPr>
          <w:p w14:paraId="65AB6DD6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74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19.3)</w:t>
            </w:r>
          </w:p>
        </w:tc>
        <w:tc>
          <w:tcPr>
            <w:tcW w:w="475" w:type="pct"/>
            <w:vAlign w:val="center"/>
          </w:tcPr>
          <w:p w14:paraId="7CA194B0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t>28 (7.3)</w:t>
            </w:r>
          </w:p>
        </w:tc>
      </w:tr>
      <w:tr w:rsidR="00B84853" w:rsidRPr="00712611" w14:paraId="702AF3F6" w14:textId="77777777" w:rsidTr="00CF4A51">
        <w:trPr>
          <w:trHeight w:val="233"/>
        </w:trPr>
        <w:tc>
          <w:tcPr>
            <w:tcW w:w="405" w:type="pct"/>
            <w:vMerge/>
            <w:vAlign w:val="center"/>
          </w:tcPr>
          <w:p w14:paraId="60D5956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7CD275F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41 in Vertical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104C991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31.0 ± 6.2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FB5A01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36.9 ± 3.4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5CC233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48.2 ± 9.1</w:t>
            </w: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370EFE4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14:paraId="2EAFED06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14:paraId="2E24C7F0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541703F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14:paraId="120053B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198F278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14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34.1)</w:t>
            </w:r>
          </w:p>
        </w:tc>
        <w:tc>
          <w:tcPr>
            <w:tcW w:w="475" w:type="pct"/>
            <w:vAlign w:val="center"/>
          </w:tcPr>
          <w:p w14:paraId="539AAEA6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t>27 (65.9)</w:t>
            </w:r>
          </w:p>
        </w:tc>
      </w:tr>
      <w:tr w:rsidR="00B84853" w:rsidRPr="00712611" w14:paraId="74539407" w14:textId="77777777" w:rsidTr="00CF4A51">
        <w:trPr>
          <w:trHeight w:val="276"/>
        </w:trPr>
        <w:tc>
          <w:tcPr>
            <w:tcW w:w="405" w:type="pct"/>
            <w:vMerge w:val="restart"/>
            <w:vAlign w:val="center"/>
          </w:tcPr>
          <w:p w14:paraId="3ADE2685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Alanis, 2010</w:t>
            </w:r>
          </w:p>
        </w:tc>
        <w:tc>
          <w:tcPr>
            <w:tcW w:w="674" w:type="pct"/>
            <w:vAlign w:val="center"/>
          </w:tcPr>
          <w:p w14:paraId="7778836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90 in Pfannenstiel 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556AE88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28.0 (24–33) 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972919D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39.0 (36–39)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B4917B0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52.8 (51.1–57.1) 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E1EAB1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37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 xml:space="preserve">41.1) </w:t>
            </w:r>
          </w:p>
        </w:tc>
        <w:tc>
          <w:tcPr>
            <w:tcW w:w="356" w:type="pct"/>
            <w:vAlign w:val="center"/>
          </w:tcPr>
          <w:p w14:paraId="0997016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17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 xml:space="preserve">18.9) </w:t>
            </w:r>
          </w:p>
        </w:tc>
        <w:tc>
          <w:tcPr>
            <w:tcW w:w="357" w:type="pct"/>
            <w:vAlign w:val="center"/>
          </w:tcPr>
          <w:p w14:paraId="011E8B8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 (</w:t>
            </w:r>
            <w:r w:rsidRPr="00712611">
              <w:rPr>
                <w:rFonts w:cs="Calibri"/>
                <w:sz w:val="18"/>
                <w:szCs w:val="18"/>
              </w:rPr>
              <w:t xml:space="preserve">12.2) </w:t>
            </w:r>
          </w:p>
        </w:tc>
        <w:tc>
          <w:tcPr>
            <w:tcW w:w="397" w:type="pct"/>
            <w:vAlign w:val="center"/>
          </w:tcPr>
          <w:p w14:paraId="0BDBF7EA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20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 xml:space="preserve">22.2) </w:t>
            </w:r>
          </w:p>
        </w:tc>
        <w:tc>
          <w:tcPr>
            <w:tcW w:w="357" w:type="pct"/>
            <w:vAlign w:val="center"/>
          </w:tcPr>
          <w:p w14:paraId="10C28A21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65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72.2)</w:t>
            </w:r>
          </w:p>
        </w:tc>
        <w:tc>
          <w:tcPr>
            <w:tcW w:w="556" w:type="pct"/>
            <w:vMerge w:val="restart"/>
            <w:vAlign w:val="center"/>
          </w:tcPr>
          <w:p w14:paraId="1239C2D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475" w:type="pct"/>
            <w:vMerge w:val="restart"/>
            <w:vAlign w:val="center"/>
          </w:tcPr>
          <w:p w14:paraId="4CF529DB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t>NR</w:t>
            </w:r>
          </w:p>
        </w:tc>
      </w:tr>
      <w:tr w:rsidR="00B84853" w:rsidRPr="00712611" w14:paraId="01CD3B6B" w14:textId="77777777" w:rsidTr="00CF4A51">
        <w:trPr>
          <w:trHeight w:val="275"/>
        </w:trPr>
        <w:tc>
          <w:tcPr>
            <w:tcW w:w="405" w:type="pct"/>
            <w:vMerge/>
            <w:vAlign w:val="center"/>
          </w:tcPr>
          <w:p w14:paraId="4562D46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7B7BDAB8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104 in Vertical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982BA7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31.0 (26–34)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738E16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38.0 (36–39)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C2C8C75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56.1 (51.9–59.8)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4151C0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47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45.2)</w:t>
            </w:r>
          </w:p>
        </w:tc>
        <w:tc>
          <w:tcPr>
            <w:tcW w:w="356" w:type="pct"/>
            <w:vAlign w:val="center"/>
          </w:tcPr>
          <w:p w14:paraId="78E102D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41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39.4)</w:t>
            </w:r>
          </w:p>
        </w:tc>
        <w:tc>
          <w:tcPr>
            <w:tcW w:w="357" w:type="pct"/>
            <w:vAlign w:val="center"/>
          </w:tcPr>
          <w:p w14:paraId="6B38060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11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10.6)</w:t>
            </w:r>
          </w:p>
        </w:tc>
        <w:tc>
          <w:tcPr>
            <w:tcW w:w="397" w:type="pct"/>
            <w:vAlign w:val="center"/>
          </w:tcPr>
          <w:p w14:paraId="5F4CB686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31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29.8)</w:t>
            </w:r>
          </w:p>
        </w:tc>
        <w:tc>
          <w:tcPr>
            <w:tcW w:w="357" w:type="pct"/>
            <w:vAlign w:val="center"/>
          </w:tcPr>
          <w:p w14:paraId="1D032D7D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58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55.8)</w:t>
            </w:r>
          </w:p>
        </w:tc>
        <w:tc>
          <w:tcPr>
            <w:tcW w:w="556" w:type="pct"/>
            <w:vMerge/>
            <w:vAlign w:val="center"/>
          </w:tcPr>
          <w:p w14:paraId="1DF4E316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14:paraId="56B89231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853" w:rsidRPr="00712611" w14:paraId="6A5D0C12" w14:textId="77777777" w:rsidTr="00CF4A51">
        <w:trPr>
          <w:trHeight w:val="179"/>
        </w:trPr>
        <w:tc>
          <w:tcPr>
            <w:tcW w:w="405" w:type="pct"/>
            <w:vMerge w:val="restart"/>
            <w:vAlign w:val="center"/>
          </w:tcPr>
          <w:p w14:paraId="396D34A3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712611">
              <w:rPr>
                <w:rFonts w:cs="Calibri"/>
                <w:sz w:val="18"/>
                <w:szCs w:val="18"/>
              </w:rPr>
              <w:t>Brocato</w:t>
            </w:r>
            <w:proofErr w:type="spellEnd"/>
            <w:r>
              <w:rPr>
                <w:rFonts w:cs="Calibri"/>
                <w:sz w:val="18"/>
                <w:szCs w:val="18"/>
              </w:rPr>
              <w:t>,</w:t>
            </w:r>
            <w:r w:rsidRPr="00712611">
              <w:rPr>
                <w:rFonts w:cs="Calibri"/>
                <w:sz w:val="18"/>
                <w:szCs w:val="18"/>
              </w:rPr>
              <w:t xml:space="preserve"> 2013</w:t>
            </w:r>
          </w:p>
        </w:tc>
        <w:tc>
          <w:tcPr>
            <w:tcW w:w="674" w:type="pct"/>
            <w:vAlign w:val="center"/>
          </w:tcPr>
          <w:p w14:paraId="2D8936F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90 in Pfannenstiel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40EAC34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26 ± 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1F0EDC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38.3 ± 3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2DECF8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56 ± 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8CD090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39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43)</w:t>
            </w:r>
          </w:p>
        </w:tc>
        <w:tc>
          <w:tcPr>
            <w:tcW w:w="356" w:type="pct"/>
            <w:vAlign w:val="center"/>
          </w:tcPr>
          <w:p w14:paraId="7CE0ED5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9)</w:t>
            </w:r>
          </w:p>
        </w:tc>
        <w:tc>
          <w:tcPr>
            <w:tcW w:w="357" w:type="pct"/>
            <w:vAlign w:val="center"/>
          </w:tcPr>
          <w:p w14:paraId="5BFF3173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11)</w:t>
            </w:r>
          </w:p>
        </w:tc>
        <w:tc>
          <w:tcPr>
            <w:tcW w:w="397" w:type="pct"/>
            <w:vAlign w:val="center"/>
          </w:tcPr>
          <w:p w14:paraId="6818DDD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31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34)</w:t>
            </w:r>
          </w:p>
        </w:tc>
        <w:tc>
          <w:tcPr>
            <w:tcW w:w="357" w:type="pct"/>
            <w:vAlign w:val="center"/>
          </w:tcPr>
          <w:p w14:paraId="1D02A15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90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100)</w:t>
            </w:r>
          </w:p>
        </w:tc>
        <w:tc>
          <w:tcPr>
            <w:tcW w:w="556" w:type="pct"/>
            <w:vMerge w:val="restart"/>
            <w:vAlign w:val="center"/>
          </w:tcPr>
          <w:p w14:paraId="08F4A7E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475" w:type="pct"/>
            <w:vAlign w:val="center"/>
          </w:tcPr>
          <w:p w14:paraId="2CDB0BB6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t>7 (8)</w:t>
            </w:r>
          </w:p>
        </w:tc>
      </w:tr>
      <w:tr w:rsidR="00B84853" w:rsidRPr="00712611" w14:paraId="484286C2" w14:textId="77777777" w:rsidTr="00CF4A51">
        <w:trPr>
          <w:trHeight w:val="179"/>
        </w:trPr>
        <w:tc>
          <w:tcPr>
            <w:tcW w:w="405" w:type="pct"/>
            <w:vMerge/>
            <w:vAlign w:val="center"/>
          </w:tcPr>
          <w:p w14:paraId="0EA50F45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6D477FCA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43 in Supraumbilical Vertical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AFE4B4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32 ± 5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89B26B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36.5 ± 2.9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329AD7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64 ± 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0F0D71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23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53)</w:t>
            </w:r>
          </w:p>
        </w:tc>
        <w:tc>
          <w:tcPr>
            <w:tcW w:w="356" w:type="pct"/>
            <w:vAlign w:val="center"/>
          </w:tcPr>
          <w:p w14:paraId="127983C6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21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49)</w:t>
            </w:r>
          </w:p>
        </w:tc>
        <w:tc>
          <w:tcPr>
            <w:tcW w:w="357" w:type="pct"/>
            <w:vAlign w:val="center"/>
          </w:tcPr>
          <w:p w14:paraId="5AC10FA8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(</w:t>
            </w:r>
            <w:r w:rsidRPr="00712611">
              <w:rPr>
                <w:rFonts w:cs="Calibri"/>
                <w:sz w:val="18"/>
                <w:szCs w:val="18"/>
              </w:rPr>
              <w:t>9)</w:t>
            </w:r>
          </w:p>
        </w:tc>
        <w:tc>
          <w:tcPr>
            <w:tcW w:w="397" w:type="pct"/>
            <w:vAlign w:val="center"/>
          </w:tcPr>
          <w:p w14:paraId="3B8279D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19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44)</w:t>
            </w:r>
          </w:p>
        </w:tc>
        <w:tc>
          <w:tcPr>
            <w:tcW w:w="357" w:type="pct"/>
            <w:vAlign w:val="center"/>
          </w:tcPr>
          <w:p w14:paraId="178A31B0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43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100)</w:t>
            </w:r>
          </w:p>
        </w:tc>
        <w:tc>
          <w:tcPr>
            <w:tcW w:w="556" w:type="pct"/>
            <w:vMerge/>
            <w:vAlign w:val="center"/>
          </w:tcPr>
          <w:p w14:paraId="2BA0DFF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14:paraId="55BCD4F4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t>29</w:t>
            </w:r>
            <w:r w:rsidRPr="00974668">
              <w:rPr>
                <w:rFonts w:cs="Calibri" w:hint="cs"/>
                <w:sz w:val="18"/>
                <w:szCs w:val="18"/>
                <w:rtl/>
              </w:rPr>
              <w:t xml:space="preserve"> </w:t>
            </w:r>
            <w:r w:rsidRPr="00974668">
              <w:rPr>
                <w:rFonts w:cs="Calibri"/>
                <w:sz w:val="18"/>
                <w:szCs w:val="18"/>
              </w:rPr>
              <w:t>(67)</w:t>
            </w:r>
          </w:p>
        </w:tc>
      </w:tr>
      <w:tr w:rsidR="00B84853" w:rsidRPr="00712611" w14:paraId="6BE2F124" w14:textId="77777777" w:rsidTr="00CF4A51">
        <w:trPr>
          <w:trHeight w:val="179"/>
        </w:trPr>
        <w:tc>
          <w:tcPr>
            <w:tcW w:w="405" w:type="pct"/>
            <w:vMerge w:val="restart"/>
            <w:vAlign w:val="center"/>
          </w:tcPr>
          <w:p w14:paraId="3B388C74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Walton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712611">
              <w:rPr>
                <w:rFonts w:cs="Calibri"/>
                <w:sz w:val="18"/>
                <w:szCs w:val="18"/>
              </w:rPr>
              <w:t xml:space="preserve"> 2017</w:t>
            </w:r>
          </w:p>
        </w:tc>
        <w:tc>
          <w:tcPr>
            <w:tcW w:w="674" w:type="pct"/>
            <w:vAlign w:val="center"/>
          </w:tcPr>
          <w:p w14:paraId="03711F0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32 in </w:t>
            </w:r>
            <w:r w:rsidRPr="00712611">
              <w:rPr>
                <w:rFonts w:cs="Calibri"/>
                <w:color w:val="000000"/>
                <w:sz w:val="18"/>
                <w:szCs w:val="18"/>
              </w:rPr>
              <w:t>High Transverse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5BFFDB3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28.8 ± 4.3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17491A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36.8 ± 2.9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0053E91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49.9 ± 9.0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43DF44D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18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56.25)</w:t>
            </w:r>
          </w:p>
        </w:tc>
        <w:tc>
          <w:tcPr>
            <w:tcW w:w="356" w:type="pct"/>
            <w:vAlign w:val="center"/>
          </w:tcPr>
          <w:p w14:paraId="37D20D95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15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46.88)</w:t>
            </w:r>
          </w:p>
        </w:tc>
        <w:tc>
          <w:tcPr>
            <w:tcW w:w="357" w:type="pct"/>
            <w:vAlign w:val="center"/>
          </w:tcPr>
          <w:p w14:paraId="105FEC24" w14:textId="0727C495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21.88)</w:t>
            </w:r>
          </w:p>
        </w:tc>
        <w:tc>
          <w:tcPr>
            <w:tcW w:w="397" w:type="pct"/>
            <w:vMerge w:val="restart"/>
            <w:vAlign w:val="center"/>
          </w:tcPr>
          <w:p w14:paraId="4AF2E0D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57" w:type="pct"/>
            <w:vMerge w:val="restart"/>
            <w:vAlign w:val="center"/>
          </w:tcPr>
          <w:p w14:paraId="62A8880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556" w:type="pct"/>
            <w:vMerge w:val="restart"/>
            <w:vAlign w:val="center"/>
          </w:tcPr>
          <w:p w14:paraId="76781C6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475" w:type="pct"/>
            <w:vMerge w:val="restart"/>
            <w:vAlign w:val="center"/>
          </w:tcPr>
          <w:p w14:paraId="78E7B3A0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t>NR</w:t>
            </w:r>
          </w:p>
        </w:tc>
      </w:tr>
      <w:tr w:rsidR="00B84853" w:rsidRPr="00712611" w14:paraId="3D9010F5" w14:textId="77777777" w:rsidTr="00CF4A51">
        <w:trPr>
          <w:trHeight w:val="179"/>
        </w:trPr>
        <w:tc>
          <w:tcPr>
            <w:tcW w:w="405" w:type="pct"/>
            <w:vMerge/>
            <w:vAlign w:val="center"/>
          </w:tcPr>
          <w:p w14:paraId="7C49E13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39512364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96 in </w:t>
            </w:r>
            <w:r w:rsidRPr="00712611">
              <w:rPr>
                <w:rFonts w:cs="Calibri"/>
                <w:color w:val="000000"/>
                <w:sz w:val="18"/>
                <w:szCs w:val="18"/>
              </w:rPr>
              <w:t>Low Transverse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8C7804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29.2 ± 5.5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891128A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38.0 ± 1.9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080FD98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49.8 ± 7.6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F8D724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35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36.46)</w:t>
            </w:r>
          </w:p>
        </w:tc>
        <w:tc>
          <w:tcPr>
            <w:tcW w:w="356" w:type="pct"/>
            <w:vAlign w:val="center"/>
          </w:tcPr>
          <w:p w14:paraId="3066FC1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45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46.88)</w:t>
            </w:r>
          </w:p>
        </w:tc>
        <w:tc>
          <w:tcPr>
            <w:tcW w:w="357" w:type="pct"/>
            <w:vAlign w:val="center"/>
          </w:tcPr>
          <w:p w14:paraId="79E2E64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21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21.88)</w:t>
            </w:r>
          </w:p>
        </w:tc>
        <w:tc>
          <w:tcPr>
            <w:tcW w:w="397" w:type="pct"/>
            <w:vMerge/>
            <w:vAlign w:val="center"/>
          </w:tcPr>
          <w:p w14:paraId="10AA559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14:paraId="71A35E0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14:paraId="235BCF6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14:paraId="14312CCB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853" w:rsidRPr="00712611" w14:paraId="456F3A22" w14:textId="77777777" w:rsidTr="00CF4A51">
        <w:trPr>
          <w:trHeight w:val="179"/>
        </w:trPr>
        <w:tc>
          <w:tcPr>
            <w:tcW w:w="405" w:type="pct"/>
            <w:vMerge w:val="restart"/>
            <w:vAlign w:val="center"/>
          </w:tcPr>
          <w:p w14:paraId="5AE75D18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D5834">
              <w:rPr>
                <w:rFonts w:cs="Calibri"/>
                <w:sz w:val="18"/>
                <w:szCs w:val="18"/>
              </w:rPr>
              <w:t>Marrs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FD5834">
              <w:rPr>
                <w:rFonts w:cs="Calibri"/>
                <w:sz w:val="18"/>
                <w:szCs w:val="18"/>
              </w:rPr>
              <w:t xml:space="preserve"> 2018</w:t>
            </w:r>
          </w:p>
        </w:tc>
        <w:tc>
          <w:tcPr>
            <w:tcW w:w="674" w:type="pct"/>
            <w:vAlign w:val="center"/>
          </w:tcPr>
          <w:p w14:paraId="78EB569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50 in </w:t>
            </w:r>
            <w:r w:rsidRPr="00FD5834">
              <w:rPr>
                <w:rFonts w:cs="Calibri"/>
                <w:sz w:val="18"/>
                <w:szCs w:val="18"/>
              </w:rPr>
              <w:t>Pfannenstiel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7665FE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 xml:space="preserve">30 </w:t>
            </w:r>
            <w:r w:rsidRPr="00F951BD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ascii="AdvTT349184da" w:hAnsi="AdvTT349184da" w:cs="AdvTT349184da"/>
                <w:sz w:val="17"/>
                <w:szCs w:val="17"/>
              </w:rPr>
              <w:t>7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D7B35C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 xml:space="preserve">37 </w:t>
            </w:r>
            <w:r w:rsidRPr="00F951BD">
              <w:rPr>
                <w:rFonts w:cs="Calibri"/>
                <w:sz w:val="18"/>
                <w:szCs w:val="18"/>
              </w:rPr>
              <w:t>±</w:t>
            </w:r>
            <w:r>
              <w:rPr>
                <w:rFonts w:ascii="AdvP4C4E74" w:hAnsi="AdvTT349184da" w:cs="AdvP4C4E74"/>
                <w:sz w:val="17"/>
                <w:szCs w:val="17"/>
              </w:rPr>
              <w:t xml:space="preserve"> </w:t>
            </w:r>
            <w:r>
              <w:rPr>
                <w:rFonts w:ascii="AdvTT349184da" w:hAnsi="AdvTT349184da" w:cs="AdvTT349184da"/>
                <w:sz w:val="17"/>
                <w:szCs w:val="17"/>
              </w:rPr>
              <w:t>2.2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ACA168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 xml:space="preserve">50 </w:t>
            </w:r>
            <w:r w:rsidRPr="00F951BD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ascii="AdvTT349184da" w:hAnsi="AdvTT349184da" w:cs="AdvTT349184da"/>
                <w:sz w:val="17"/>
                <w:szCs w:val="17"/>
              </w:rPr>
              <w:t>8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65CF756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56" w:type="pct"/>
            <w:vAlign w:val="center"/>
          </w:tcPr>
          <w:p w14:paraId="62D82FD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24 (48)</w:t>
            </w:r>
          </w:p>
        </w:tc>
        <w:tc>
          <w:tcPr>
            <w:tcW w:w="357" w:type="pct"/>
            <w:vAlign w:val="center"/>
          </w:tcPr>
          <w:p w14:paraId="1AB0E84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3 (6)</w:t>
            </w:r>
          </w:p>
        </w:tc>
        <w:tc>
          <w:tcPr>
            <w:tcW w:w="397" w:type="pct"/>
            <w:vMerge w:val="restart"/>
            <w:vAlign w:val="center"/>
          </w:tcPr>
          <w:p w14:paraId="0FCBF870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57" w:type="pct"/>
            <w:vAlign w:val="center"/>
          </w:tcPr>
          <w:p w14:paraId="1F0691D8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49 (98)</w:t>
            </w:r>
          </w:p>
        </w:tc>
        <w:tc>
          <w:tcPr>
            <w:tcW w:w="556" w:type="pct"/>
            <w:vAlign w:val="center"/>
          </w:tcPr>
          <w:p w14:paraId="5A15C4F0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17 (34)</w:t>
            </w:r>
          </w:p>
        </w:tc>
        <w:tc>
          <w:tcPr>
            <w:tcW w:w="475" w:type="pct"/>
            <w:vMerge w:val="restart"/>
            <w:vAlign w:val="center"/>
          </w:tcPr>
          <w:p w14:paraId="1031113E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t>NR</w:t>
            </w:r>
          </w:p>
        </w:tc>
      </w:tr>
      <w:tr w:rsidR="00B84853" w:rsidRPr="00712611" w14:paraId="7C5CCD11" w14:textId="77777777" w:rsidTr="00CF4A51">
        <w:trPr>
          <w:trHeight w:val="179"/>
        </w:trPr>
        <w:tc>
          <w:tcPr>
            <w:tcW w:w="405" w:type="pct"/>
            <w:vMerge/>
            <w:vAlign w:val="center"/>
          </w:tcPr>
          <w:p w14:paraId="5716168C" w14:textId="77777777" w:rsidR="00831F19" w:rsidRPr="00FD5834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056BDDC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41 in </w:t>
            </w:r>
            <w:r w:rsidRPr="00FD5834">
              <w:rPr>
                <w:rFonts w:cs="Calibri"/>
                <w:color w:val="000000"/>
                <w:sz w:val="18"/>
                <w:szCs w:val="18"/>
              </w:rPr>
              <w:t>Vertical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6285B90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 xml:space="preserve">28 </w:t>
            </w:r>
            <w:r w:rsidRPr="00F951BD">
              <w:rPr>
                <w:rFonts w:cs="Calibri"/>
                <w:sz w:val="18"/>
                <w:szCs w:val="18"/>
              </w:rPr>
              <w:t>±</w:t>
            </w:r>
            <w:r>
              <w:rPr>
                <w:rFonts w:ascii="AdvP4C4E74" w:hAnsi="AdvTT349184da" w:cs="AdvP4C4E74"/>
                <w:sz w:val="17"/>
                <w:szCs w:val="17"/>
              </w:rPr>
              <w:t xml:space="preserve"> </w:t>
            </w:r>
            <w:r>
              <w:rPr>
                <w:rFonts w:ascii="AdvTT349184da" w:hAnsi="AdvTT349184da" w:cs="AdvTT349184da"/>
                <w:sz w:val="17"/>
                <w:szCs w:val="17"/>
              </w:rPr>
              <w:t>7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54D5A3D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 xml:space="preserve">36.9 </w:t>
            </w:r>
            <w:r w:rsidRPr="00F951BD">
              <w:rPr>
                <w:rFonts w:cs="Calibri"/>
                <w:sz w:val="18"/>
                <w:szCs w:val="18"/>
              </w:rPr>
              <w:t>±</w:t>
            </w:r>
            <w:r>
              <w:rPr>
                <w:rFonts w:ascii="AdvP4C4E74" w:hAnsi="AdvTT349184da" w:cs="AdvP4C4E74"/>
                <w:sz w:val="17"/>
                <w:szCs w:val="17"/>
              </w:rPr>
              <w:t xml:space="preserve"> </w:t>
            </w:r>
            <w:r>
              <w:rPr>
                <w:rFonts w:ascii="AdvTT349184da" w:hAnsi="AdvTT349184da" w:cs="AdvTT349184da"/>
                <w:sz w:val="17"/>
                <w:szCs w:val="17"/>
              </w:rPr>
              <w:t>3.5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38B8F1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 xml:space="preserve">48 </w:t>
            </w:r>
            <w:r w:rsidRPr="00F951BD">
              <w:rPr>
                <w:rFonts w:cs="Calibri"/>
                <w:sz w:val="18"/>
                <w:szCs w:val="18"/>
              </w:rPr>
              <w:t>±</w:t>
            </w:r>
            <w:r>
              <w:rPr>
                <w:rFonts w:ascii="AdvP4C4E74" w:hAnsi="AdvTT349184da" w:cs="AdvP4C4E74"/>
                <w:sz w:val="17"/>
                <w:szCs w:val="17"/>
              </w:rPr>
              <w:t xml:space="preserve"> </w:t>
            </w:r>
            <w:r>
              <w:rPr>
                <w:rFonts w:ascii="AdvTT349184da" w:hAnsi="AdvTT349184da" w:cs="AdvTT349184da"/>
                <w:sz w:val="17"/>
                <w:szCs w:val="17"/>
              </w:rPr>
              <w:t>6</w:t>
            </w: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BFDDA7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14B226E0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13 (32)</w:t>
            </w:r>
          </w:p>
        </w:tc>
        <w:tc>
          <w:tcPr>
            <w:tcW w:w="357" w:type="pct"/>
            <w:vAlign w:val="center"/>
          </w:tcPr>
          <w:p w14:paraId="118A229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1 (2)</w:t>
            </w:r>
          </w:p>
        </w:tc>
        <w:tc>
          <w:tcPr>
            <w:tcW w:w="397" w:type="pct"/>
            <w:vMerge/>
            <w:vAlign w:val="center"/>
          </w:tcPr>
          <w:p w14:paraId="7B5DABB5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53912914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41 (100)</w:t>
            </w:r>
          </w:p>
        </w:tc>
        <w:tc>
          <w:tcPr>
            <w:tcW w:w="556" w:type="pct"/>
            <w:vAlign w:val="center"/>
          </w:tcPr>
          <w:p w14:paraId="02E1B485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12 (29)</w:t>
            </w:r>
          </w:p>
        </w:tc>
        <w:tc>
          <w:tcPr>
            <w:tcW w:w="475" w:type="pct"/>
            <w:vMerge/>
            <w:vAlign w:val="center"/>
          </w:tcPr>
          <w:p w14:paraId="27D6F409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853" w:rsidRPr="00712611" w14:paraId="1B113020" w14:textId="77777777" w:rsidTr="00CF4A51">
        <w:trPr>
          <w:trHeight w:val="179"/>
        </w:trPr>
        <w:tc>
          <w:tcPr>
            <w:tcW w:w="405" w:type="pct"/>
            <w:vMerge w:val="restart"/>
            <w:vAlign w:val="center"/>
          </w:tcPr>
          <w:p w14:paraId="0F34072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C51514">
              <w:rPr>
                <w:rFonts w:cs="Calibri"/>
                <w:sz w:val="18"/>
                <w:szCs w:val="18"/>
              </w:rPr>
              <w:t>Dias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C51514">
              <w:rPr>
                <w:rFonts w:cs="Calibri"/>
                <w:sz w:val="18"/>
                <w:szCs w:val="18"/>
              </w:rPr>
              <w:t xml:space="preserve"> 2019</w:t>
            </w:r>
          </w:p>
        </w:tc>
        <w:tc>
          <w:tcPr>
            <w:tcW w:w="674" w:type="pct"/>
            <w:vAlign w:val="center"/>
          </w:tcPr>
          <w:p w14:paraId="5A0428E1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406 in </w:t>
            </w:r>
            <w:r w:rsidRPr="00C51514">
              <w:rPr>
                <w:rFonts w:cs="Calibri"/>
                <w:sz w:val="18"/>
                <w:szCs w:val="18"/>
              </w:rPr>
              <w:t>Infra-panniculus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51514">
              <w:rPr>
                <w:rFonts w:cs="Calibri"/>
                <w:color w:val="000000"/>
                <w:sz w:val="18"/>
                <w:szCs w:val="18"/>
              </w:rPr>
              <w:t>Transverse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CA1304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MinionPro-Regular" w:cs="MinionPro-Regular"/>
                <w:sz w:val="16"/>
                <w:szCs w:val="16"/>
              </w:rPr>
              <w:t xml:space="preserve">30.6 </w:t>
            </w:r>
            <w:r w:rsidRPr="00F951BD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ascii="MinionPro-Regular" w:cs="MinionPro-Regular"/>
                <w:sz w:val="16"/>
                <w:szCs w:val="16"/>
              </w:rPr>
              <w:t>5.7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EC60D40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39.3 </w:t>
            </w:r>
            <w:r w:rsidRPr="00F951BD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712611">
              <w:rPr>
                <w:rFonts w:cs="Calibri"/>
                <w:sz w:val="18"/>
                <w:szCs w:val="18"/>
              </w:rPr>
              <w:t>2.07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EF73B0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MinionPro-Regular" w:cs="MinionPro-Regular"/>
                <w:sz w:val="16"/>
                <w:szCs w:val="16"/>
              </w:rPr>
              <w:t xml:space="preserve">43.3 </w:t>
            </w:r>
            <w:r w:rsidRPr="00F951BD">
              <w:rPr>
                <w:rFonts w:cs="Calibri"/>
                <w:sz w:val="18"/>
                <w:szCs w:val="18"/>
              </w:rPr>
              <w:t>±</w:t>
            </w:r>
            <w:r>
              <w:rPr>
                <w:rFonts w:ascii="MinionPro-Regular" w:cs="MinionPro-Regular"/>
                <w:sz w:val="16"/>
                <w:szCs w:val="16"/>
              </w:rPr>
              <w:t xml:space="preserve"> 3.3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3DA028E0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56" w:type="pct"/>
            <w:vAlign w:val="center"/>
          </w:tcPr>
          <w:p w14:paraId="444CEF18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MinionPro-Regular" w:cs="MinionPro-Regular"/>
                <w:sz w:val="16"/>
                <w:szCs w:val="16"/>
              </w:rPr>
              <w:t>89 (21.9)</w:t>
            </w:r>
          </w:p>
        </w:tc>
        <w:tc>
          <w:tcPr>
            <w:tcW w:w="357" w:type="pct"/>
            <w:vAlign w:val="center"/>
          </w:tcPr>
          <w:p w14:paraId="567D3DC4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MinionPro-Regular" w:cs="MinionPro-Regular"/>
                <w:sz w:val="16"/>
                <w:szCs w:val="16"/>
              </w:rPr>
              <w:t>68 (16.7)</w:t>
            </w:r>
          </w:p>
        </w:tc>
        <w:tc>
          <w:tcPr>
            <w:tcW w:w="397" w:type="pct"/>
            <w:vMerge w:val="restart"/>
            <w:vAlign w:val="center"/>
          </w:tcPr>
          <w:p w14:paraId="1DB75E13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57" w:type="pct"/>
            <w:vMerge w:val="restart"/>
            <w:vAlign w:val="center"/>
          </w:tcPr>
          <w:p w14:paraId="1EA0B886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556" w:type="pct"/>
            <w:vMerge w:val="restart"/>
            <w:vAlign w:val="center"/>
          </w:tcPr>
          <w:p w14:paraId="16D3BA4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475" w:type="pct"/>
            <w:vMerge w:val="restart"/>
            <w:vAlign w:val="center"/>
          </w:tcPr>
          <w:p w14:paraId="539F2311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t>NR</w:t>
            </w:r>
          </w:p>
        </w:tc>
      </w:tr>
      <w:tr w:rsidR="00B84853" w:rsidRPr="00712611" w14:paraId="5C8DB386" w14:textId="77777777" w:rsidTr="00CF4A51">
        <w:trPr>
          <w:trHeight w:val="179"/>
        </w:trPr>
        <w:tc>
          <w:tcPr>
            <w:tcW w:w="405" w:type="pct"/>
            <w:vMerge/>
            <w:vAlign w:val="center"/>
          </w:tcPr>
          <w:p w14:paraId="7D6FF325" w14:textId="77777777" w:rsidR="00831F19" w:rsidRPr="00C51514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4ACFC32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47 in </w:t>
            </w:r>
            <w:r w:rsidRPr="00C51514">
              <w:rPr>
                <w:rFonts w:cs="Calibri"/>
                <w:sz w:val="18"/>
                <w:szCs w:val="18"/>
              </w:rPr>
              <w:t>Supra-panniculus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51514">
              <w:rPr>
                <w:rFonts w:cs="Calibri"/>
                <w:color w:val="000000"/>
                <w:sz w:val="18"/>
                <w:szCs w:val="18"/>
              </w:rPr>
              <w:t>Transverse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F7DD063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MinionPro-Regular" w:cs="MinionPro-Regular"/>
                <w:sz w:val="16"/>
                <w:szCs w:val="16"/>
              </w:rPr>
              <w:t xml:space="preserve">32.9 </w:t>
            </w:r>
            <w:r w:rsidRPr="00F951BD">
              <w:rPr>
                <w:rFonts w:cs="Calibri"/>
                <w:sz w:val="18"/>
                <w:szCs w:val="18"/>
              </w:rPr>
              <w:t>±</w:t>
            </w:r>
            <w:r>
              <w:rPr>
                <w:rFonts w:ascii="MinionPro-Regular" w:cs="MinionPro-Regular"/>
                <w:sz w:val="16"/>
                <w:szCs w:val="16"/>
              </w:rPr>
              <w:t xml:space="preserve"> 4.4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8B0220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38.2 </w:t>
            </w:r>
            <w:r w:rsidRPr="00F951BD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712611">
              <w:rPr>
                <w:rFonts w:cs="Calibri"/>
                <w:sz w:val="18"/>
                <w:szCs w:val="18"/>
              </w:rPr>
              <w:t>2.1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81766D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MinionPro-Regular" w:cs="MinionPro-Regular"/>
                <w:sz w:val="16"/>
                <w:szCs w:val="16"/>
              </w:rPr>
              <w:t xml:space="preserve">49.2 </w:t>
            </w:r>
            <w:r w:rsidRPr="00F951BD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ascii="MinionPro-Regular" w:cs="MinionPro-Regular"/>
                <w:sz w:val="16"/>
                <w:szCs w:val="16"/>
              </w:rPr>
              <w:t>7.1</w:t>
            </w: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14D1850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44E90A20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MinionPro-Regular" w:cs="MinionPro-Regular"/>
                <w:sz w:val="16"/>
                <w:szCs w:val="16"/>
              </w:rPr>
              <w:t>20 (42.6)</w:t>
            </w:r>
          </w:p>
        </w:tc>
        <w:tc>
          <w:tcPr>
            <w:tcW w:w="357" w:type="pct"/>
            <w:vAlign w:val="center"/>
          </w:tcPr>
          <w:p w14:paraId="3B364A63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MinionPro-Regular" w:cs="MinionPro-Regular"/>
                <w:sz w:val="16"/>
                <w:szCs w:val="16"/>
              </w:rPr>
              <w:t>4 (8.5)</w:t>
            </w:r>
          </w:p>
        </w:tc>
        <w:tc>
          <w:tcPr>
            <w:tcW w:w="397" w:type="pct"/>
            <w:vMerge/>
            <w:vAlign w:val="center"/>
          </w:tcPr>
          <w:p w14:paraId="2CD08CD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14:paraId="57B8A60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14:paraId="61C6D0D5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14:paraId="2346573E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853" w:rsidRPr="00712611" w14:paraId="0FB9D1DA" w14:textId="77777777" w:rsidTr="00CF4A51">
        <w:trPr>
          <w:trHeight w:val="179"/>
        </w:trPr>
        <w:tc>
          <w:tcPr>
            <w:tcW w:w="405" w:type="pct"/>
            <w:vMerge w:val="restart"/>
            <w:vAlign w:val="center"/>
          </w:tcPr>
          <w:p w14:paraId="432CF8E4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281361">
              <w:rPr>
                <w:rFonts w:cs="Calibri"/>
                <w:sz w:val="18"/>
                <w:szCs w:val="18"/>
              </w:rPr>
              <w:t>Thornburg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281361">
              <w:rPr>
                <w:rFonts w:cs="Calibri"/>
                <w:sz w:val="18"/>
                <w:szCs w:val="18"/>
              </w:rPr>
              <w:t xml:space="preserve"> 2012</w:t>
            </w:r>
          </w:p>
        </w:tc>
        <w:tc>
          <w:tcPr>
            <w:tcW w:w="674" w:type="pct"/>
            <w:vAlign w:val="center"/>
          </w:tcPr>
          <w:p w14:paraId="2F551B2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588 in Low Transverse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14:paraId="6F002060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E351FF">
              <w:rPr>
                <w:rFonts w:ascii="MinionPro-Regular" w:cs="MinionPro-Regular"/>
                <w:sz w:val="16"/>
                <w:szCs w:val="16"/>
              </w:rPr>
              <w:t xml:space="preserve">29.0 </w:t>
            </w:r>
            <w:r w:rsidRPr="00E351FF">
              <w:rPr>
                <w:rFonts w:ascii="MinionPro-Regular" w:cs="MinionPro-Regular" w:hint="eastAsia"/>
                <w:sz w:val="16"/>
                <w:szCs w:val="16"/>
              </w:rPr>
              <w:t>±</w:t>
            </w:r>
            <w:r w:rsidRPr="00E351FF">
              <w:rPr>
                <w:rFonts w:ascii="MinionPro-Regular" w:cs="MinionPro-Regular"/>
                <w:sz w:val="16"/>
                <w:szCs w:val="16"/>
              </w:rPr>
              <w:t xml:space="preserve"> 6.0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72E7085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E351FF">
              <w:rPr>
                <w:rFonts w:cs="Calibri"/>
                <w:sz w:val="18"/>
                <w:szCs w:val="18"/>
              </w:rPr>
              <w:t xml:space="preserve">37.3 </w:t>
            </w:r>
            <w:r w:rsidRPr="00E351FF">
              <w:rPr>
                <w:rFonts w:cs="Calibri" w:hint="eastAsia"/>
                <w:sz w:val="18"/>
                <w:szCs w:val="18"/>
              </w:rPr>
              <w:t>±</w:t>
            </w:r>
            <w:r w:rsidRPr="00E351FF">
              <w:rPr>
                <w:rFonts w:cs="Calibri"/>
                <w:sz w:val="18"/>
                <w:szCs w:val="18"/>
              </w:rPr>
              <w:t xml:space="preserve"> 3.8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24371EF6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E351FF">
              <w:rPr>
                <w:rFonts w:cs="Calibri"/>
                <w:sz w:val="18"/>
                <w:szCs w:val="18"/>
              </w:rPr>
              <w:t xml:space="preserve">39.4 </w:t>
            </w:r>
            <w:r w:rsidRPr="00E351FF">
              <w:rPr>
                <w:rFonts w:cs="Calibri" w:hint="eastAsia"/>
                <w:sz w:val="18"/>
                <w:szCs w:val="18"/>
              </w:rPr>
              <w:t>±</w:t>
            </w:r>
            <w:r w:rsidRPr="00E351FF">
              <w:rPr>
                <w:rFonts w:cs="Calibri"/>
                <w:sz w:val="18"/>
                <w:szCs w:val="18"/>
              </w:rPr>
              <w:t xml:space="preserve"> 6.7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71AB8FD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56" w:type="pct"/>
            <w:vMerge w:val="restart"/>
            <w:vAlign w:val="center"/>
          </w:tcPr>
          <w:p w14:paraId="5DBB22F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106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17)</w:t>
            </w:r>
          </w:p>
        </w:tc>
        <w:tc>
          <w:tcPr>
            <w:tcW w:w="357" w:type="pct"/>
            <w:vMerge w:val="restart"/>
            <w:vAlign w:val="center"/>
          </w:tcPr>
          <w:p w14:paraId="6F387BF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97" w:type="pct"/>
            <w:vMerge w:val="restart"/>
            <w:vAlign w:val="center"/>
          </w:tcPr>
          <w:p w14:paraId="64F7F18A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MinionPro-Capt" w:cs="MinionPro-Capt"/>
                <w:sz w:val="16"/>
                <w:szCs w:val="16"/>
              </w:rPr>
              <w:t>27 (4.3)</w:t>
            </w:r>
          </w:p>
        </w:tc>
        <w:tc>
          <w:tcPr>
            <w:tcW w:w="357" w:type="pct"/>
            <w:vMerge w:val="restart"/>
            <w:vAlign w:val="center"/>
          </w:tcPr>
          <w:p w14:paraId="16FA3A70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281361">
              <w:rPr>
                <w:rFonts w:cs="Calibri"/>
                <w:sz w:val="18"/>
                <w:szCs w:val="18"/>
              </w:rPr>
              <w:t>623</w:t>
            </w:r>
            <w:r>
              <w:rPr>
                <w:rFonts w:cs="Calibri"/>
                <w:sz w:val="18"/>
                <w:szCs w:val="18"/>
              </w:rPr>
              <w:t xml:space="preserve"> (100</w:t>
            </w:r>
            <w:r w:rsidRPr="00281361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556" w:type="pct"/>
            <w:vMerge w:val="restart"/>
            <w:vAlign w:val="center"/>
          </w:tcPr>
          <w:p w14:paraId="18A0A578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475" w:type="pct"/>
            <w:vMerge w:val="restart"/>
            <w:vAlign w:val="center"/>
          </w:tcPr>
          <w:p w14:paraId="65F8AAB5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t>NR</w:t>
            </w:r>
          </w:p>
        </w:tc>
      </w:tr>
      <w:tr w:rsidR="00B84853" w:rsidRPr="00712611" w14:paraId="04563D45" w14:textId="77777777" w:rsidTr="00CF4A51">
        <w:trPr>
          <w:trHeight w:val="179"/>
        </w:trPr>
        <w:tc>
          <w:tcPr>
            <w:tcW w:w="405" w:type="pct"/>
            <w:vMerge/>
            <w:vAlign w:val="center"/>
          </w:tcPr>
          <w:p w14:paraId="66B4417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2C40E8B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35 in </w:t>
            </w:r>
            <w:r>
              <w:rPr>
                <w:rFonts w:cs="Calibri"/>
                <w:sz w:val="18"/>
                <w:szCs w:val="18"/>
              </w:rPr>
              <w:t>Vertical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14:paraId="512DB1CA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10A7A6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6A05DFE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7E6CC7F6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14:paraId="2E40170A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14:paraId="6BC0990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56BC46F6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pct"/>
            <w:vMerge/>
            <w:vAlign w:val="center"/>
          </w:tcPr>
          <w:p w14:paraId="0FFB30E6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14:paraId="328F9FC1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14:paraId="4AF06B6E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853" w:rsidRPr="00712611" w14:paraId="47FCD284" w14:textId="77777777" w:rsidTr="00CF4A51">
        <w:trPr>
          <w:trHeight w:val="179"/>
        </w:trPr>
        <w:tc>
          <w:tcPr>
            <w:tcW w:w="405" w:type="pct"/>
            <w:vMerge w:val="restart"/>
            <w:vAlign w:val="center"/>
          </w:tcPr>
          <w:p w14:paraId="7B793F8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50359E">
              <w:rPr>
                <w:rFonts w:cs="Calibri"/>
                <w:sz w:val="18"/>
                <w:szCs w:val="18"/>
              </w:rPr>
              <w:t>McLean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50359E">
              <w:rPr>
                <w:rFonts w:cs="Calibri"/>
                <w:sz w:val="18"/>
                <w:szCs w:val="18"/>
              </w:rPr>
              <w:t xml:space="preserve"> 2011</w:t>
            </w:r>
          </w:p>
        </w:tc>
        <w:tc>
          <w:tcPr>
            <w:tcW w:w="674" w:type="pct"/>
            <w:vAlign w:val="center"/>
          </w:tcPr>
          <w:p w14:paraId="7587187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213 in Transverse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AC2D2AA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 xml:space="preserve">29.9 </w:t>
            </w:r>
            <w:r>
              <w:rPr>
                <w:rFonts w:ascii="MinionPro-Capt" w:cs="MinionPro-Capt" w:hint="eastAsia"/>
                <w:sz w:val="16"/>
                <w:szCs w:val="16"/>
              </w:rPr>
              <w:t>±</w:t>
            </w:r>
            <w:r>
              <w:rPr>
                <w:rFonts w:ascii="AdvP4C4E74" w:hAnsi="AdvTT349184da" w:cs="AdvP4C4E74"/>
                <w:sz w:val="17"/>
                <w:szCs w:val="17"/>
              </w:rPr>
              <w:t xml:space="preserve"> </w:t>
            </w:r>
            <w:r>
              <w:rPr>
                <w:rFonts w:ascii="AdvTT349184da" w:hAnsi="AdvTT349184da" w:cs="AdvTT349184da"/>
                <w:sz w:val="17"/>
                <w:szCs w:val="17"/>
              </w:rPr>
              <w:t>6.0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F18B59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39 (37</w:t>
            </w:r>
            <w:r>
              <w:rPr>
                <w:rFonts w:ascii="AdvTT349184da+20" w:hAnsi="AdvTT349184da+20" w:cs="AdvTT349184da+20"/>
                <w:sz w:val="17"/>
                <w:szCs w:val="17"/>
              </w:rPr>
              <w:t>–</w:t>
            </w:r>
            <w:r>
              <w:rPr>
                <w:rFonts w:ascii="AdvTT349184da" w:hAnsi="AdvTT349184da" w:cs="AdvTT349184da"/>
                <w:sz w:val="17"/>
                <w:szCs w:val="17"/>
              </w:rPr>
              <w:t>39)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1FA9ED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36 (32</w:t>
            </w:r>
            <w:r>
              <w:rPr>
                <w:rFonts w:ascii="AdvTT349184da+20" w:hAnsi="AdvTT349184da+20" w:cs="AdvTT349184da+20"/>
                <w:sz w:val="17"/>
                <w:szCs w:val="17"/>
              </w:rPr>
              <w:t>–</w:t>
            </w:r>
            <w:r>
              <w:rPr>
                <w:rFonts w:ascii="AdvTT349184da" w:hAnsi="AdvTT349184da" w:cs="AdvTT349184da"/>
                <w:sz w:val="17"/>
                <w:szCs w:val="17"/>
              </w:rPr>
              <w:t>40)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6AD9C2A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55 (26)</w:t>
            </w:r>
          </w:p>
        </w:tc>
        <w:tc>
          <w:tcPr>
            <w:tcW w:w="356" w:type="pct"/>
            <w:vAlign w:val="center"/>
          </w:tcPr>
          <w:p w14:paraId="3D4CD84A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49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23)</w:t>
            </w:r>
          </w:p>
        </w:tc>
        <w:tc>
          <w:tcPr>
            <w:tcW w:w="357" w:type="pct"/>
            <w:vAlign w:val="center"/>
          </w:tcPr>
          <w:p w14:paraId="4812715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44 (21)</w:t>
            </w:r>
          </w:p>
        </w:tc>
        <w:tc>
          <w:tcPr>
            <w:tcW w:w="397" w:type="pct"/>
            <w:vAlign w:val="center"/>
          </w:tcPr>
          <w:p w14:paraId="0692E403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28 (13)</w:t>
            </w:r>
          </w:p>
        </w:tc>
        <w:tc>
          <w:tcPr>
            <w:tcW w:w="357" w:type="pct"/>
            <w:vMerge w:val="restart"/>
            <w:vAlign w:val="center"/>
          </w:tcPr>
          <w:p w14:paraId="4C41EC8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556" w:type="pct"/>
            <w:vMerge w:val="restart"/>
            <w:vAlign w:val="center"/>
          </w:tcPr>
          <w:p w14:paraId="181CD68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475" w:type="pct"/>
            <w:vMerge w:val="restart"/>
            <w:vAlign w:val="center"/>
          </w:tcPr>
          <w:p w14:paraId="255EFC2B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t>NR</w:t>
            </w:r>
          </w:p>
        </w:tc>
      </w:tr>
      <w:tr w:rsidR="00B84853" w:rsidRPr="00712611" w14:paraId="7E844BDB" w14:textId="77777777" w:rsidTr="00CF4A51">
        <w:trPr>
          <w:trHeight w:val="412"/>
        </w:trPr>
        <w:tc>
          <w:tcPr>
            <w:tcW w:w="405" w:type="pct"/>
            <w:vMerge/>
            <w:vAlign w:val="center"/>
          </w:tcPr>
          <w:p w14:paraId="4924E413" w14:textId="77777777" w:rsidR="00831F19" w:rsidRPr="0050359E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274E89B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25 in </w:t>
            </w:r>
            <w:r>
              <w:rPr>
                <w:rFonts w:cs="Calibri"/>
                <w:sz w:val="18"/>
                <w:szCs w:val="18"/>
              </w:rPr>
              <w:t>Vertical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B06F38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 xml:space="preserve">29.4 </w:t>
            </w:r>
            <w:r>
              <w:rPr>
                <w:rFonts w:ascii="MinionPro-Capt" w:cs="MinionPro-Capt" w:hint="eastAsia"/>
                <w:sz w:val="16"/>
                <w:szCs w:val="16"/>
              </w:rPr>
              <w:t>±</w:t>
            </w:r>
            <w:r>
              <w:rPr>
                <w:rFonts w:ascii="AdvP4C4E74" w:hAnsi="AdvTT349184da" w:cs="AdvP4C4E74"/>
                <w:sz w:val="17"/>
                <w:szCs w:val="17"/>
              </w:rPr>
              <w:t xml:space="preserve"> </w:t>
            </w:r>
            <w:r>
              <w:rPr>
                <w:rFonts w:ascii="AdvTT349184da" w:hAnsi="AdvTT349184da" w:cs="AdvTT349184da"/>
                <w:sz w:val="17"/>
                <w:szCs w:val="17"/>
              </w:rPr>
              <w:t>5.2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4B929A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39 (37</w:t>
            </w:r>
            <w:r>
              <w:rPr>
                <w:rFonts w:ascii="AdvTT349184da+20" w:hAnsi="AdvTT349184da+20" w:cs="AdvTT349184da+20"/>
                <w:sz w:val="17"/>
                <w:szCs w:val="17"/>
              </w:rPr>
              <w:t>–</w:t>
            </w:r>
            <w:r>
              <w:rPr>
                <w:rFonts w:ascii="AdvTT349184da" w:hAnsi="AdvTT349184da" w:cs="AdvTT349184da"/>
                <w:sz w:val="17"/>
                <w:szCs w:val="17"/>
              </w:rPr>
              <w:t>39)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E80D56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43 (36</w:t>
            </w:r>
            <w:r>
              <w:rPr>
                <w:rFonts w:ascii="AdvTT349184da+20" w:hAnsi="AdvTT349184da+20" w:cs="AdvTT349184da+20"/>
                <w:sz w:val="17"/>
                <w:szCs w:val="17"/>
              </w:rPr>
              <w:t>–</w:t>
            </w:r>
            <w:r>
              <w:rPr>
                <w:rFonts w:ascii="AdvTT349184da" w:hAnsi="AdvTT349184da" w:cs="AdvTT349184da"/>
                <w:sz w:val="17"/>
                <w:szCs w:val="17"/>
              </w:rPr>
              <w:t>51)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F886893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11 (44)</w:t>
            </w:r>
          </w:p>
        </w:tc>
        <w:tc>
          <w:tcPr>
            <w:tcW w:w="356" w:type="pct"/>
            <w:vAlign w:val="center"/>
          </w:tcPr>
          <w:p w14:paraId="0F20AF3D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AE7CD5">
              <w:rPr>
                <w:rFonts w:cs="Calibri"/>
                <w:sz w:val="18"/>
                <w:szCs w:val="18"/>
              </w:rPr>
              <w:t>13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 w:rsidRPr="00712611">
              <w:rPr>
                <w:rFonts w:cs="Calibri"/>
                <w:sz w:val="18"/>
                <w:szCs w:val="18"/>
              </w:rPr>
              <w:t>52)</w:t>
            </w:r>
          </w:p>
        </w:tc>
        <w:tc>
          <w:tcPr>
            <w:tcW w:w="357" w:type="pct"/>
            <w:vAlign w:val="center"/>
          </w:tcPr>
          <w:p w14:paraId="73EF76D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8 (32)</w:t>
            </w:r>
          </w:p>
        </w:tc>
        <w:tc>
          <w:tcPr>
            <w:tcW w:w="397" w:type="pct"/>
            <w:vAlign w:val="center"/>
          </w:tcPr>
          <w:p w14:paraId="44AF4BC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AdvTT349184da" w:hAnsi="AdvTT349184da" w:cs="AdvTT349184da"/>
                <w:sz w:val="17"/>
                <w:szCs w:val="17"/>
              </w:rPr>
              <w:t>7 (28)</w:t>
            </w:r>
          </w:p>
        </w:tc>
        <w:tc>
          <w:tcPr>
            <w:tcW w:w="357" w:type="pct"/>
            <w:vMerge/>
            <w:vAlign w:val="center"/>
          </w:tcPr>
          <w:p w14:paraId="13FC0A1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14:paraId="471C99B5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14:paraId="2F417DCF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853" w:rsidRPr="00712611" w14:paraId="35FC5972" w14:textId="77777777" w:rsidTr="00CF4A51">
        <w:trPr>
          <w:trHeight w:val="1069"/>
        </w:trPr>
        <w:tc>
          <w:tcPr>
            <w:tcW w:w="405" w:type="pct"/>
            <w:vMerge w:val="restart"/>
            <w:vAlign w:val="center"/>
          </w:tcPr>
          <w:p w14:paraId="345F12B6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BF312E">
              <w:rPr>
                <w:rFonts w:cs="Calibri"/>
                <w:sz w:val="18"/>
                <w:szCs w:val="18"/>
              </w:rPr>
              <w:t>Wall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BF312E">
              <w:rPr>
                <w:rFonts w:cs="Calibri"/>
                <w:sz w:val="18"/>
                <w:szCs w:val="18"/>
              </w:rPr>
              <w:t xml:space="preserve"> 2003</w:t>
            </w:r>
          </w:p>
        </w:tc>
        <w:tc>
          <w:tcPr>
            <w:tcW w:w="674" w:type="pct"/>
            <w:vAlign w:val="center"/>
          </w:tcPr>
          <w:p w14:paraId="3E5D9739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213 in Transverse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77F4E0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 xml:space="preserve">28.9 </w:t>
            </w:r>
            <w:r>
              <w:rPr>
                <w:rFonts w:ascii="MinionPro-Capt" w:cs="MinionPro-Capt" w:hint="eastAsia"/>
                <w:sz w:val="16"/>
                <w:szCs w:val="16"/>
              </w:rPr>
              <w:t>±</w:t>
            </w:r>
            <w:r>
              <w:rPr>
                <w:rFonts w:ascii="Universal-GreekwithMathPi" w:hAnsi="Universal-GreekwithMathPi" w:cs="Universal-GreekwithMathPi"/>
                <w:sz w:val="18"/>
                <w:szCs w:val="18"/>
              </w:rPr>
              <w:t xml:space="preserve"> </w:t>
            </w: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>6.2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9E0769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 xml:space="preserve">37.6 </w:t>
            </w:r>
            <w:r>
              <w:rPr>
                <w:rFonts w:ascii="MinionPro-Capt" w:cs="MinionPro-Capt" w:hint="eastAsia"/>
                <w:sz w:val="16"/>
                <w:szCs w:val="16"/>
              </w:rPr>
              <w:t>±</w:t>
            </w:r>
            <w:r>
              <w:rPr>
                <w:rFonts w:ascii="Universal-GreekwithMathPi" w:hAnsi="Universal-GreekwithMathPi" w:cs="Universal-GreekwithMathPi"/>
                <w:sz w:val="18"/>
                <w:szCs w:val="18"/>
              </w:rPr>
              <w:t xml:space="preserve"> </w:t>
            </w: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>3.9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331A2B2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 xml:space="preserve">41.2 </w:t>
            </w:r>
            <w:r>
              <w:rPr>
                <w:rFonts w:ascii="MinionPro-Capt" w:cs="MinionPro-Capt" w:hint="eastAsia"/>
                <w:sz w:val="16"/>
                <w:szCs w:val="16"/>
              </w:rPr>
              <w:t>±</w:t>
            </w:r>
            <w:r>
              <w:rPr>
                <w:rFonts w:ascii="Universal-GreekwithMathPi" w:hAnsi="Universal-GreekwithMathPi" w:cs="Universal-GreekwithMathPi"/>
                <w:sz w:val="18"/>
                <w:szCs w:val="18"/>
              </w:rPr>
              <w:t xml:space="preserve"> </w:t>
            </w: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>4.8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723B5077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356" w:type="pct"/>
            <w:vAlign w:val="center"/>
          </w:tcPr>
          <w:p w14:paraId="688AE235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40 (18.8)</w:t>
            </w:r>
          </w:p>
        </w:tc>
        <w:tc>
          <w:tcPr>
            <w:tcW w:w="357" w:type="pct"/>
            <w:vAlign w:val="center"/>
          </w:tcPr>
          <w:p w14:paraId="33150A8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>38 (18)</w:t>
            </w:r>
          </w:p>
        </w:tc>
        <w:tc>
          <w:tcPr>
            <w:tcW w:w="397" w:type="pct"/>
            <w:vAlign w:val="center"/>
          </w:tcPr>
          <w:p w14:paraId="4942DABA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>44 (20.7)</w:t>
            </w:r>
          </w:p>
        </w:tc>
        <w:tc>
          <w:tcPr>
            <w:tcW w:w="357" w:type="pct"/>
            <w:vAlign w:val="center"/>
          </w:tcPr>
          <w:p w14:paraId="24CDF60D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>187 (87.8)</w:t>
            </w:r>
          </w:p>
        </w:tc>
        <w:tc>
          <w:tcPr>
            <w:tcW w:w="556" w:type="pct"/>
            <w:vMerge w:val="restart"/>
            <w:vAlign w:val="center"/>
          </w:tcPr>
          <w:p w14:paraId="0C651A75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NR</w:t>
            </w:r>
          </w:p>
        </w:tc>
        <w:tc>
          <w:tcPr>
            <w:tcW w:w="475" w:type="pct"/>
            <w:vMerge w:val="restart"/>
            <w:vAlign w:val="center"/>
          </w:tcPr>
          <w:p w14:paraId="1DB4A3CB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974668">
              <w:rPr>
                <w:rFonts w:cs="Calibri"/>
                <w:sz w:val="18"/>
                <w:szCs w:val="18"/>
              </w:rPr>
              <w:t>NR</w:t>
            </w:r>
          </w:p>
        </w:tc>
      </w:tr>
      <w:tr w:rsidR="00B84853" w:rsidRPr="00712611" w14:paraId="059BAA5F" w14:textId="77777777" w:rsidTr="00CF4A51">
        <w:trPr>
          <w:trHeight w:val="50"/>
        </w:trPr>
        <w:tc>
          <w:tcPr>
            <w:tcW w:w="405" w:type="pct"/>
            <w:vMerge/>
            <w:vAlign w:val="center"/>
          </w:tcPr>
          <w:p w14:paraId="2D0034D2" w14:textId="77777777" w:rsidR="00831F19" w:rsidRPr="00BF312E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7BF71DE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 xml:space="preserve">26 in </w:t>
            </w:r>
            <w:r>
              <w:rPr>
                <w:rFonts w:cs="Calibri"/>
                <w:sz w:val="18"/>
                <w:szCs w:val="18"/>
              </w:rPr>
              <w:t>Vertical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243EB6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 xml:space="preserve">27.5 </w:t>
            </w:r>
            <w:r>
              <w:rPr>
                <w:rFonts w:ascii="MinionPro-Capt" w:cs="MinionPro-Capt" w:hint="eastAsia"/>
                <w:sz w:val="16"/>
                <w:szCs w:val="16"/>
              </w:rPr>
              <w:t>±</w:t>
            </w:r>
            <w:r>
              <w:rPr>
                <w:rFonts w:ascii="Universal-GreekwithMathPi" w:hAnsi="Universal-GreekwithMathPi" w:cs="Universal-GreekwithMathPi"/>
                <w:sz w:val="18"/>
                <w:szCs w:val="18"/>
              </w:rPr>
              <w:t xml:space="preserve"> </w:t>
            </w: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>6.2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2ABCF2E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 xml:space="preserve">36.2 </w:t>
            </w:r>
            <w:r>
              <w:rPr>
                <w:rFonts w:ascii="MinionPro-Capt" w:cs="MinionPro-Capt" w:hint="eastAsia"/>
                <w:sz w:val="16"/>
                <w:szCs w:val="16"/>
              </w:rPr>
              <w:t>±</w:t>
            </w:r>
            <w:r>
              <w:rPr>
                <w:rFonts w:ascii="Universal-GreekwithMathPi" w:hAnsi="Universal-GreekwithMathPi" w:cs="Universal-GreekwithMathPi"/>
                <w:sz w:val="18"/>
                <w:szCs w:val="18"/>
              </w:rPr>
              <w:t xml:space="preserve"> </w:t>
            </w: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>5.2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437C09F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 xml:space="preserve">44.1 </w:t>
            </w:r>
            <w:r>
              <w:rPr>
                <w:rFonts w:ascii="MinionPro-Capt" w:cs="MinionPro-Capt" w:hint="eastAsia"/>
                <w:sz w:val="16"/>
                <w:szCs w:val="16"/>
              </w:rPr>
              <w:t>±</w:t>
            </w:r>
            <w:r>
              <w:rPr>
                <w:rFonts w:ascii="Universal-GreekwithMathPi" w:hAnsi="Universal-GreekwithMathPi" w:cs="Universal-GreekwithMathPi"/>
                <w:sz w:val="18"/>
                <w:szCs w:val="18"/>
              </w:rPr>
              <w:t xml:space="preserve"> </w:t>
            </w: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>6.0</w:t>
            </w: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9E57458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14:paraId="02AD32FB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712611">
              <w:rPr>
                <w:rFonts w:cs="Calibri"/>
                <w:sz w:val="18"/>
                <w:szCs w:val="18"/>
              </w:rPr>
              <w:t>5 (19.2)</w:t>
            </w:r>
          </w:p>
        </w:tc>
        <w:tc>
          <w:tcPr>
            <w:tcW w:w="357" w:type="pct"/>
            <w:vAlign w:val="center"/>
          </w:tcPr>
          <w:p w14:paraId="498986F3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>6 (23)</w:t>
            </w:r>
          </w:p>
        </w:tc>
        <w:tc>
          <w:tcPr>
            <w:tcW w:w="397" w:type="pct"/>
            <w:vAlign w:val="center"/>
          </w:tcPr>
          <w:p w14:paraId="3C0AE1DC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>9 (34.6)</w:t>
            </w:r>
          </w:p>
        </w:tc>
        <w:tc>
          <w:tcPr>
            <w:tcW w:w="357" w:type="pct"/>
            <w:vAlign w:val="center"/>
          </w:tcPr>
          <w:p w14:paraId="08878DA4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BaskervilleBookBQ-Regular" w:hAnsi="BaskervilleBookBQ-Regular" w:cs="BaskervilleBookBQ-Regular"/>
                <w:sz w:val="18"/>
                <w:szCs w:val="18"/>
              </w:rPr>
              <w:t>24 (92.3)</w:t>
            </w:r>
          </w:p>
        </w:tc>
        <w:tc>
          <w:tcPr>
            <w:tcW w:w="556" w:type="pct"/>
            <w:vMerge/>
            <w:vAlign w:val="center"/>
          </w:tcPr>
          <w:p w14:paraId="53518273" w14:textId="77777777" w:rsidR="00831F19" w:rsidRPr="00712611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14:paraId="7906669E" w14:textId="77777777" w:rsidR="00831F19" w:rsidRPr="00974668" w:rsidRDefault="00831F19" w:rsidP="00CF4A51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44F46A68" w14:textId="77777777" w:rsidR="00CF4A51" w:rsidRPr="00CF4A51" w:rsidRDefault="00CF4A51" w:rsidP="00CF4A51">
      <w:pPr>
        <w:rPr>
          <w:rFonts w:ascii="Times New Roman" w:hAnsi="Times New Roman" w:cs="Times New Roman"/>
        </w:rPr>
      </w:pPr>
    </w:p>
    <w:p w14:paraId="3B934920" w14:textId="77777777" w:rsidR="00CF4A51" w:rsidRPr="00CF4A51" w:rsidRDefault="00CF4A51" w:rsidP="00CF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4A51">
        <w:rPr>
          <w:rFonts w:ascii="Times New Roman" w:hAnsi="Times New Roman" w:cs="Times New Roman"/>
          <w:b/>
          <w:bCs/>
        </w:rPr>
        <w:t>Appendix S3</w:t>
      </w:r>
      <w:r w:rsidRPr="00CF4A51">
        <w:rPr>
          <w:rFonts w:ascii="Times New Roman" w:hAnsi="Times New Roman" w:cs="Times New Roman"/>
        </w:rPr>
        <w:t>: Clinical characteristics of studies’ population</w:t>
      </w:r>
      <w:r w:rsidRPr="00CF4A51">
        <w:rPr>
          <w:rFonts w:ascii="Times New Roman" w:hAnsi="Times New Roman" w:cs="Times New Roman"/>
        </w:rPr>
        <w:t xml:space="preserve"> </w:t>
      </w:r>
    </w:p>
    <w:p w14:paraId="3358CEDB" w14:textId="77777777" w:rsidR="00CF4A51" w:rsidRDefault="00CF4A51" w:rsidP="00CF4A5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712611">
        <w:rPr>
          <w:rFonts w:cs="Calibri"/>
          <w:sz w:val="18"/>
          <w:szCs w:val="18"/>
        </w:rPr>
        <w:t>Data are presented as</w:t>
      </w:r>
      <w:r w:rsidRPr="00AD6BAA">
        <w:rPr>
          <w:rFonts w:cs="Calibri"/>
          <w:sz w:val="18"/>
          <w:szCs w:val="18"/>
        </w:rPr>
        <w:t xml:space="preserve"> n (%), Mean ± SD, and Median (</w:t>
      </w:r>
      <w:r>
        <w:rPr>
          <w:rFonts w:cs="Calibri"/>
          <w:sz w:val="18"/>
          <w:szCs w:val="18"/>
        </w:rPr>
        <w:t>1</w:t>
      </w:r>
      <w:r w:rsidRPr="00AD6BAA">
        <w:rPr>
          <w:rFonts w:cs="Calibri"/>
          <w:sz w:val="18"/>
          <w:szCs w:val="18"/>
          <w:vertAlign w:val="superscript"/>
        </w:rPr>
        <w:t>st</w:t>
      </w:r>
      <w:r>
        <w:rPr>
          <w:rFonts w:cs="Calibri"/>
          <w:sz w:val="18"/>
          <w:szCs w:val="18"/>
        </w:rPr>
        <w:t xml:space="preserve"> quartile</w:t>
      </w:r>
      <w:r w:rsidRPr="00AD6BAA">
        <w:rPr>
          <w:rFonts w:cs="Calibri"/>
          <w:sz w:val="18"/>
          <w:szCs w:val="18"/>
        </w:rPr>
        <w:t>–</w:t>
      </w:r>
      <w:r>
        <w:rPr>
          <w:rFonts w:cs="Calibri"/>
          <w:sz w:val="18"/>
          <w:szCs w:val="18"/>
        </w:rPr>
        <w:t>3</w:t>
      </w:r>
      <w:r w:rsidRPr="00AD6BAA">
        <w:rPr>
          <w:rFonts w:cs="Calibri"/>
          <w:sz w:val="18"/>
          <w:szCs w:val="18"/>
          <w:vertAlign w:val="superscript"/>
        </w:rPr>
        <w:t>rd</w:t>
      </w:r>
      <w:r>
        <w:rPr>
          <w:rFonts w:cs="Calibri"/>
          <w:sz w:val="18"/>
          <w:szCs w:val="18"/>
        </w:rPr>
        <w:t xml:space="preserve"> quartile</w:t>
      </w:r>
      <w:r w:rsidRPr="00AD6BAA">
        <w:rPr>
          <w:rFonts w:cs="Calibri"/>
          <w:sz w:val="18"/>
          <w:szCs w:val="18"/>
        </w:rPr>
        <w:t>)</w:t>
      </w:r>
      <w:r>
        <w:rPr>
          <w:rFonts w:cs="Calibri"/>
          <w:sz w:val="18"/>
          <w:szCs w:val="18"/>
        </w:rPr>
        <w:t xml:space="preserve"> </w:t>
      </w:r>
    </w:p>
    <w:p w14:paraId="62E14D6D" w14:textId="5BCBC531" w:rsidR="00CF4A51" w:rsidRDefault="00CF4A51" w:rsidP="00CF4A5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bookmarkStart w:id="0" w:name="_GoBack"/>
      <w:bookmarkEnd w:id="0"/>
      <w:r>
        <w:rPr>
          <w:rFonts w:cs="Calibri"/>
          <w:sz w:val="18"/>
          <w:szCs w:val="18"/>
        </w:rPr>
        <w:t xml:space="preserve">Abbreviations: y, year; </w:t>
      </w:r>
      <w:proofErr w:type="spellStart"/>
      <w:r>
        <w:rPr>
          <w:rFonts w:cs="Calibri"/>
          <w:sz w:val="18"/>
          <w:szCs w:val="18"/>
        </w:rPr>
        <w:t>wk</w:t>
      </w:r>
      <w:proofErr w:type="spellEnd"/>
      <w:r>
        <w:rPr>
          <w:rFonts w:cs="Calibri"/>
          <w:sz w:val="18"/>
          <w:szCs w:val="18"/>
        </w:rPr>
        <w:t>, week; HTN, hypertension; NR, not reported.</w:t>
      </w:r>
      <w:r w:rsidRPr="00B84853">
        <w:rPr>
          <w:rFonts w:cs="Calibri"/>
          <w:sz w:val="18"/>
          <w:szCs w:val="18"/>
        </w:rPr>
        <w:t xml:space="preserve"> </w:t>
      </w:r>
    </w:p>
    <w:p w14:paraId="6FA2F1EB" w14:textId="78642C41" w:rsidR="00CF4A51" w:rsidRPr="00CF4A51" w:rsidRDefault="00CF4A51" w:rsidP="00CF4A51">
      <w:pPr>
        <w:jc w:val="center"/>
        <w:rPr>
          <w:rFonts w:cs="Calibri"/>
          <w:sz w:val="18"/>
          <w:szCs w:val="18"/>
        </w:rPr>
      </w:pPr>
    </w:p>
    <w:p w14:paraId="4C0569B6" w14:textId="7233F6B0" w:rsidR="00543F25" w:rsidRPr="00AD6BAA" w:rsidRDefault="00543F25" w:rsidP="00543F2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/>
      </w:r>
    </w:p>
    <w:p w14:paraId="7DE3ABD6" w14:textId="22441A51" w:rsidR="00A1709C" w:rsidRDefault="00A1709C" w:rsidP="00A1709C">
      <w:pPr>
        <w:bidi w:val="0"/>
      </w:pPr>
    </w:p>
    <w:p w14:paraId="29B26CB8" w14:textId="3D0199C6" w:rsidR="00A1709C" w:rsidRDefault="00A1709C" w:rsidP="00A1709C">
      <w:pPr>
        <w:bidi w:val="0"/>
      </w:pPr>
    </w:p>
    <w:p w14:paraId="01750CFC" w14:textId="027FE10A" w:rsidR="00A1709C" w:rsidRDefault="00A1709C" w:rsidP="00A1709C">
      <w:pPr>
        <w:bidi w:val="0"/>
      </w:pPr>
    </w:p>
    <w:p w14:paraId="7EE8E6AA" w14:textId="47E60FA3" w:rsidR="00A1709C" w:rsidRDefault="00A1709C" w:rsidP="00A1709C">
      <w:pPr>
        <w:bidi w:val="0"/>
      </w:pPr>
    </w:p>
    <w:p w14:paraId="5FF2C5E4" w14:textId="7F9EA852" w:rsidR="00A1709C" w:rsidRDefault="00A1709C" w:rsidP="00A1709C">
      <w:pPr>
        <w:bidi w:val="0"/>
      </w:pPr>
    </w:p>
    <w:p w14:paraId="04AC5298" w14:textId="61E94DFC" w:rsidR="00A1709C" w:rsidRDefault="00A1709C" w:rsidP="00A1709C">
      <w:pPr>
        <w:bidi w:val="0"/>
      </w:pPr>
    </w:p>
    <w:p w14:paraId="4E61A24D" w14:textId="129C3114" w:rsidR="00A1709C" w:rsidRDefault="00A1709C" w:rsidP="00A1709C">
      <w:pPr>
        <w:bidi w:val="0"/>
      </w:pPr>
    </w:p>
    <w:p w14:paraId="0D137C39" w14:textId="3F9153C6" w:rsidR="00A1709C" w:rsidRDefault="00A1709C" w:rsidP="00A1709C">
      <w:pPr>
        <w:bidi w:val="0"/>
      </w:pPr>
    </w:p>
    <w:p w14:paraId="4547AE31" w14:textId="69F270C7" w:rsidR="00A1709C" w:rsidRDefault="00A1709C" w:rsidP="00A1709C">
      <w:pPr>
        <w:bidi w:val="0"/>
      </w:pPr>
    </w:p>
    <w:p w14:paraId="14DD807A" w14:textId="1096774E" w:rsidR="00A1709C" w:rsidRDefault="00A1709C" w:rsidP="00A1709C">
      <w:pPr>
        <w:bidi w:val="0"/>
      </w:pPr>
    </w:p>
    <w:p w14:paraId="776B9A8A" w14:textId="76148A9A" w:rsidR="00A1709C" w:rsidRDefault="00A1709C" w:rsidP="00A1709C">
      <w:pPr>
        <w:bidi w:val="0"/>
      </w:pPr>
    </w:p>
    <w:p w14:paraId="0D163A7F" w14:textId="77777777" w:rsidR="00A1709C" w:rsidRPr="005F4E28" w:rsidRDefault="00A1709C" w:rsidP="00A1709C">
      <w:pPr>
        <w:bidi w:val="0"/>
      </w:pPr>
    </w:p>
    <w:sectPr w:rsidR="00A1709C" w:rsidRPr="005F4E28" w:rsidSect="00B84853">
      <w:headerReference w:type="default" r:id="rId6"/>
      <w:footerReference w:type="default" r:id="rId7"/>
      <w:pgSz w:w="11906" w:h="16838"/>
      <w:pgMar w:top="0" w:right="2102" w:bottom="0" w:left="1800" w:header="706" w:footer="70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0338" w14:textId="77777777" w:rsidR="000C7B0C" w:rsidRDefault="000C7B0C" w:rsidP="004762D3">
      <w:pPr>
        <w:spacing w:after="0" w:line="240" w:lineRule="auto"/>
      </w:pPr>
      <w:r>
        <w:separator/>
      </w:r>
    </w:p>
  </w:endnote>
  <w:endnote w:type="continuationSeparator" w:id="0">
    <w:p w14:paraId="7AD09634" w14:textId="77777777" w:rsidR="000C7B0C" w:rsidRDefault="000C7B0C" w:rsidP="004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TT31ea7db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1ea7dbe+fb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TT349184d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74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nionPro-Regular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nionPro-Capt">
    <w:altName w:val="Sakkal Majalla"/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AdvTT349184da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BookBQ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GreekwithMath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474816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5916C" w14:textId="0C839D33" w:rsidR="00543F25" w:rsidRDefault="00543F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1EEA2" w14:textId="77777777" w:rsidR="00543F25" w:rsidRDefault="0054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3E6D3" w14:textId="77777777" w:rsidR="000C7B0C" w:rsidRDefault="000C7B0C" w:rsidP="004762D3">
      <w:pPr>
        <w:spacing w:after="0" w:line="240" w:lineRule="auto"/>
      </w:pPr>
      <w:r>
        <w:separator/>
      </w:r>
    </w:p>
  </w:footnote>
  <w:footnote w:type="continuationSeparator" w:id="0">
    <w:p w14:paraId="4442BE45" w14:textId="77777777" w:rsidR="000C7B0C" w:rsidRDefault="000C7B0C" w:rsidP="0047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0763" w14:textId="77777777" w:rsidR="005F4E28" w:rsidRPr="005F4E28" w:rsidRDefault="005F4E28" w:rsidP="005F4E2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C71"/>
    <w:rsid w:val="00001C71"/>
    <w:rsid w:val="000C7B0C"/>
    <w:rsid w:val="00112A15"/>
    <w:rsid w:val="001F4123"/>
    <w:rsid w:val="00344949"/>
    <w:rsid w:val="004762D3"/>
    <w:rsid w:val="004A5E3F"/>
    <w:rsid w:val="00543F25"/>
    <w:rsid w:val="0058653B"/>
    <w:rsid w:val="005E5A61"/>
    <w:rsid w:val="005F4E28"/>
    <w:rsid w:val="00831F19"/>
    <w:rsid w:val="008B3CD7"/>
    <w:rsid w:val="008C2360"/>
    <w:rsid w:val="009F5698"/>
    <w:rsid w:val="00A10659"/>
    <w:rsid w:val="00A1709C"/>
    <w:rsid w:val="00B2288D"/>
    <w:rsid w:val="00B84853"/>
    <w:rsid w:val="00BC687B"/>
    <w:rsid w:val="00CB219F"/>
    <w:rsid w:val="00CC66BD"/>
    <w:rsid w:val="00CF4A51"/>
    <w:rsid w:val="00D065FF"/>
    <w:rsid w:val="00D90778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DD67E"/>
  <w15:docId w15:val="{013DBD34-1E53-4816-859C-A998C646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2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D3"/>
  </w:style>
  <w:style w:type="paragraph" w:styleId="Footer">
    <w:name w:val="footer"/>
    <w:basedOn w:val="Normal"/>
    <w:link w:val="FooterChar"/>
    <w:uiPriority w:val="99"/>
    <w:unhideWhenUsed/>
    <w:rsid w:val="0047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HP</cp:lastModifiedBy>
  <cp:revision>7</cp:revision>
  <dcterms:created xsi:type="dcterms:W3CDTF">2019-10-07T10:53:00Z</dcterms:created>
  <dcterms:modified xsi:type="dcterms:W3CDTF">2020-08-24T20:36:00Z</dcterms:modified>
</cp:coreProperties>
</file>