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969E" w14:textId="77777777" w:rsidR="00474F98" w:rsidRPr="00362B74" w:rsidRDefault="00474F98" w:rsidP="0047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74">
        <w:rPr>
          <w:rFonts w:ascii="Times New Roman" w:hAnsi="Times New Roman" w:cs="Times New Roman"/>
          <w:b/>
          <w:sz w:val="28"/>
          <w:szCs w:val="28"/>
        </w:rPr>
        <w:t>Supplementary to</w:t>
      </w:r>
    </w:p>
    <w:p w14:paraId="512EE385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4108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A8FF9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028D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F7">
        <w:rPr>
          <w:rFonts w:ascii="Times New Roman" w:hAnsi="Times New Roman" w:cs="Times New Roman"/>
          <w:b/>
          <w:bCs/>
          <w:sz w:val="24"/>
          <w:szCs w:val="24"/>
        </w:rPr>
        <w:t>Expression of mouse small interfering RNAs in lettuce using artificial microRNA technology</w:t>
      </w:r>
    </w:p>
    <w:p w14:paraId="2A388C74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FE94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1F7">
        <w:rPr>
          <w:rFonts w:ascii="Times New Roman" w:hAnsi="Times New Roman" w:cs="Times New Roman"/>
          <w:sz w:val="24"/>
          <w:szCs w:val="24"/>
        </w:rPr>
        <w:t>Tayebeh</w:t>
      </w:r>
      <w:proofErr w:type="spellEnd"/>
      <w:r w:rsidRPr="00D041F7">
        <w:rPr>
          <w:rFonts w:ascii="Times New Roman" w:hAnsi="Times New Roman" w:cs="Times New Roman"/>
          <w:sz w:val="24"/>
          <w:szCs w:val="24"/>
        </w:rPr>
        <w:t xml:space="preserve"> Kakeshpour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4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F7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D041F7">
        <w:rPr>
          <w:rFonts w:ascii="Times New Roman" w:hAnsi="Times New Roman" w:cs="Times New Roman"/>
          <w:sz w:val="24"/>
          <w:szCs w:val="24"/>
        </w:rPr>
        <w:t xml:space="preserve"> Man Tamang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4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1F7">
        <w:rPr>
          <w:rFonts w:ascii="Times New Roman" w:hAnsi="Times New Roman" w:cs="Times New Roman"/>
          <w:sz w:val="24"/>
          <w:szCs w:val="24"/>
        </w:rPr>
        <w:t>Woojun</w:t>
      </w:r>
      <w:proofErr w:type="spellEnd"/>
      <w:r w:rsidRPr="00D041F7">
        <w:rPr>
          <w:rFonts w:ascii="Times New Roman" w:hAnsi="Times New Roman" w:cs="Times New Roman"/>
          <w:sz w:val="24"/>
          <w:szCs w:val="24"/>
        </w:rPr>
        <w:t xml:space="preserve"> D Park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1F7">
        <w:rPr>
          <w:rFonts w:ascii="Times New Roman" w:hAnsi="Times New Roman" w:cs="Times New Roman"/>
          <w:sz w:val="24"/>
          <w:szCs w:val="24"/>
        </w:rPr>
        <w:t>, Murli Manohar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1F7">
        <w:rPr>
          <w:rFonts w:ascii="Times New Roman" w:hAnsi="Times New Roman" w:cs="Times New Roman"/>
          <w:sz w:val="24"/>
          <w:szCs w:val="24"/>
        </w:rPr>
        <w:t>, Jian Yang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041F7">
        <w:rPr>
          <w:rFonts w:ascii="Times New Roman" w:hAnsi="Times New Roman" w:cs="Times New Roman"/>
          <w:sz w:val="24"/>
          <w:szCs w:val="24"/>
        </w:rPr>
        <w:t>, Kendal D Hirschi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4*</w:t>
      </w:r>
      <w:r w:rsidRPr="00D041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041F7">
        <w:rPr>
          <w:rFonts w:ascii="Times New Roman" w:hAnsi="Times New Roman" w:cs="Times New Roman"/>
          <w:sz w:val="24"/>
          <w:szCs w:val="24"/>
        </w:rPr>
        <w:t>Sunghun</w:t>
      </w:r>
      <w:proofErr w:type="spellEnd"/>
      <w:r w:rsidRPr="00D041F7">
        <w:rPr>
          <w:rFonts w:ascii="Times New Roman" w:hAnsi="Times New Roman" w:cs="Times New Roman"/>
          <w:sz w:val="24"/>
          <w:szCs w:val="24"/>
        </w:rPr>
        <w:t xml:space="preserve"> Park</w:t>
      </w:r>
      <w:r w:rsidRPr="00D041F7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47E355B2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7703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041F7">
        <w:rPr>
          <w:rFonts w:ascii="Times New Roman" w:hAnsi="Times New Roman" w:cs="Times New Roman"/>
          <w:i/>
          <w:iCs/>
          <w:sz w:val="24"/>
          <w:szCs w:val="24"/>
        </w:rPr>
        <w:t>Department of Horticulture and Natural Resources, Kansas State University, Manhattan, KS 66506, USA</w:t>
      </w:r>
    </w:p>
    <w:p w14:paraId="0AF196C5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041F7">
        <w:rPr>
          <w:rFonts w:ascii="Times New Roman" w:hAnsi="Times New Roman" w:cs="Times New Roman"/>
          <w:i/>
          <w:iCs/>
          <w:sz w:val="24"/>
          <w:szCs w:val="24"/>
        </w:rPr>
        <w:t>Department of Molecular &amp; Human Genetics, Baylor College of Medicine, Houston, TX 77030, USA</w:t>
      </w:r>
    </w:p>
    <w:p w14:paraId="7131AD99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041F7">
        <w:rPr>
          <w:rFonts w:ascii="Times New Roman" w:hAnsi="Times New Roman" w:cs="Times New Roman"/>
          <w:i/>
          <w:iCs/>
          <w:sz w:val="24"/>
          <w:szCs w:val="24"/>
        </w:rPr>
        <w:t>Boyce Thompson Institute, Cornell University, Ithaca, NY 14853, USA</w:t>
      </w:r>
    </w:p>
    <w:p w14:paraId="19DDC2F7" w14:textId="77777777" w:rsidR="00474F98" w:rsidRPr="00D041F7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F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D041F7">
        <w:rPr>
          <w:rFonts w:ascii="Times New Roman" w:hAnsi="Times New Roman" w:cs="Times New Roman"/>
          <w:i/>
          <w:iCs/>
          <w:sz w:val="24"/>
          <w:szCs w:val="24"/>
        </w:rPr>
        <w:t>United States Department of Agriculture/Agricultural Research Service, Children’s Nutrition Research Center, Department of Pediatrics, Baylor College of Medicine, Houston, TX 77030, USA</w:t>
      </w:r>
    </w:p>
    <w:p w14:paraId="6B8D4549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7ED45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462B56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C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6D5CB6">
        <w:rPr>
          <w:rFonts w:ascii="Times New Roman" w:hAnsi="Times New Roman" w:cs="Times New Roman"/>
          <w:b/>
          <w:bCs/>
          <w:sz w:val="28"/>
          <w:szCs w:val="28"/>
        </w:rPr>
        <w:t xml:space="preserve">igure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D5CB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14:paraId="3CF94FB8" w14:textId="77777777" w:rsidR="00474F98" w:rsidRPr="00362B74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418A4" w14:textId="77777777" w:rsidR="00474F9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E21A67" w14:textId="77777777" w:rsidR="00474F98" w:rsidRPr="00362B74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1BBE8E" w14:textId="1EA63D60" w:rsidR="00474F98" w:rsidRPr="00362B74" w:rsidRDefault="00474F98" w:rsidP="00474F98">
      <w:pPr>
        <w:tabs>
          <w:tab w:val="left" w:pos="1035"/>
        </w:tabs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7E259FE" wp14:editId="12995032">
            <wp:extent cx="5934075" cy="3067050"/>
            <wp:effectExtent l="0" t="0" r="9525" b="0"/>
            <wp:docPr id="8" name="Picture 8" descr="Lettuce_RNAiBiotechniques_figs_edited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ttuce_RNAiBiotechniques_figs_edited2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9" r="4063" b="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1EF4" w14:textId="77777777" w:rsidR="00474F98" w:rsidRDefault="00474F98" w:rsidP="00474F98">
      <w:pPr>
        <w:tabs>
          <w:tab w:val="left" w:pos="1035"/>
        </w:tabs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13280E2" w14:textId="77777777" w:rsidR="00474F98" w:rsidRPr="00362B74" w:rsidRDefault="00474F98" w:rsidP="00474F98">
      <w:pPr>
        <w:tabs>
          <w:tab w:val="left" w:pos="1035"/>
        </w:tabs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9873CE2" w14:textId="77777777" w:rsidR="00474F98" w:rsidRPr="00E9125C" w:rsidRDefault="00474F98" w:rsidP="00474F98">
      <w:pPr>
        <w:tabs>
          <w:tab w:val="left" w:pos="1035"/>
        </w:tabs>
        <w:rPr>
          <w:rFonts w:ascii="Times New Roman" w:hAnsi="Times New Roman" w:cs="Times New Roman"/>
          <w:noProof/>
          <w:sz w:val="24"/>
          <w:szCs w:val="24"/>
        </w:rPr>
      </w:pPr>
      <w:r w:rsidRPr="00BF08CC">
        <w:rPr>
          <w:rFonts w:ascii="Times New Roman" w:hAnsi="Times New Roman" w:cs="Times New Roman"/>
          <w:b/>
          <w:bCs/>
          <w:noProof/>
          <w:sz w:val="24"/>
          <w:szCs w:val="24"/>
        </w:rPr>
        <w:t>Supplement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Pr="00BF08C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ry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BF08C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BF08CC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BF08CC">
        <w:rPr>
          <w:rFonts w:ascii="Times New Roman" w:hAnsi="Times New Roman" w:cs="Times New Roman"/>
          <w:noProof/>
          <w:sz w:val="24"/>
          <w:szCs w:val="24"/>
        </w:rPr>
        <w:t>.  PCR scheme to produce artificial microRNA constructs.  (A) The original rice 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cro </w:t>
      </w:r>
      <w:r w:rsidRPr="00BF08CC">
        <w:rPr>
          <w:rFonts w:ascii="Times New Roman" w:hAnsi="Times New Roman" w:cs="Times New Roman"/>
          <w:noProof/>
          <w:sz w:val="24"/>
          <w:szCs w:val="24"/>
        </w:rPr>
        <w:t xml:space="preserve">RNA 528 sequences (green) were replaced by C3 and CF7 </w:t>
      </w:r>
      <w:r w:rsidRPr="00E61A01">
        <w:rPr>
          <w:rFonts w:ascii="Times New Roman" w:hAnsi="Times New Roman" w:cs="Times New Roman"/>
          <w:noProof/>
          <w:sz w:val="24"/>
          <w:szCs w:val="24"/>
        </w:rPr>
        <w:t xml:space="preserve">artificial microRNA </w:t>
      </w:r>
      <w:r w:rsidRPr="00BF08CC">
        <w:rPr>
          <w:rFonts w:ascii="Times New Roman" w:hAnsi="Times New Roman" w:cs="Times New Roman"/>
          <w:noProof/>
          <w:sz w:val="24"/>
          <w:szCs w:val="24"/>
        </w:rPr>
        <w:t xml:space="preserve">sequences (red) during the first PCR using three pairs of primers.  Primer sequences are shown in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F08CC">
        <w:rPr>
          <w:rFonts w:ascii="Times New Roman" w:hAnsi="Times New Roman" w:cs="Times New Roman"/>
          <w:noProof/>
          <w:sz w:val="24"/>
          <w:szCs w:val="24"/>
        </w:rPr>
        <w:t>uppl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BF08CC">
        <w:rPr>
          <w:rFonts w:ascii="Times New Roman" w:hAnsi="Times New Roman" w:cs="Times New Roman"/>
          <w:noProof/>
          <w:sz w:val="24"/>
          <w:szCs w:val="24"/>
        </w:rPr>
        <w:t xml:space="preserve">mentary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BF08CC">
        <w:rPr>
          <w:rFonts w:ascii="Times New Roman" w:hAnsi="Times New Roman" w:cs="Times New Roman"/>
          <w:noProof/>
          <w:sz w:val="24"/>
          <w:szCs w:val="24"/>
        </w:rPr>
        <w:t xml:space="preserve">able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F08CC">
        <w:rPr>
          <w:rFonts w:ascii="Times New Roman" w:hAnsi="Times New Roman" w:cs="Times New Roman"/>
          <w:noProof/>
          <w:sz w:val="24"/>
          <w:szCs w:val="24"/>
        </w:rPr>
        <w:t>1.  Yellow sequences are complem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BF08CC">
        <w:rPr>
          <w:rFonts w:ascii="Times New Roman" w:hAnsi="Times New Roman" w:cs="Times New Roman"/>
          <w:noProof/>
          <w:sz w:val="24"/>
          <w:szCs w:val="24"/>
        </w:rPr>
        <w:t xml:space="preserve">ntary to primers and multiple cloning sites are shown in blue.  (B) Three DNA fragments were amplified during PCRs and were combined by fusion PCR using G-4368 and G-4369 primers to obtain one DNA sequence.  (C) Final DNA sequence ready for subsequent cloning. </w:t>
      </w:r>
      <w:r w:rsidRPr="00BF08CC">
        <w:rPr>
          <w:noProof/>
        </w:rPr>
        <w:br w:type="page"/>
      </w:r>
    </w:p>
    <w:p w14:paraId="5437A1B0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Supplementary F</w:t>
      </w:r>
      <w:r w:rsidRPr="00D12EC4">
        <w:rPr>
          <w:rFonts w:ascii="Times New Roman" w:hAnsi="Times New Roman" w:cs="Times New Roman"/>
          <w:b/>
          <w:bCs/>
          <w:sz w:val="28"/>
          <w:szCs w:val="28"/>
        </w:rPr>
        <w:t>igurer</w:t>
      </w:r>
      <w:r w:rsidRPr="00D12EC4">
        <w:rPr>
          <w:rFonts w:ascii="Times New Roman" w:hAnsi="Times New Roman" w:cs="Times New Roman"/>
          <w:sz w:val="28"/>
          <w:szCs w:val="28"/>
        </w:rPr>
        <w:t xml:space="preserve"> </w:t>
      </w:r>
      <w:r w:rsidRPr="00ED639B">
        <w:rPr>
          <w:rFonts w:ascii="Times New Roman" w:hAnsi="Times New Roman" w:cs="Times New Roman"/>
          <w:b/>
          <w:sz w:val="28"/>
          <w:szCs w:val="28"/>
        </w:rPr>
        <w:t>S2</w:t>
      </w:r>
    </w:p>
    <w:p w14:paraId="7542B2E1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548B1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77F6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0BAB0" w14:textId="7B8CB9A4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3598F" wp14:editId="54527CDB">
            <wp:extent cx="5934075" cy="1971675"/>
            <wp:effectExtent l="0" t="0" r="9525" b="9525"/>
            <wp:docPr id="7" name="Picture 7" descr="Lettuce_RNAiBiotechniques_figs_edited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tuce_RNAiBiotechniques_figs_edited2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19507" r="2563" b="2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ACC3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6F81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8B0AE" w14:textId="77777777" w:rsidR="00474F98" w:rsidRPr="00D12EC4" w:rsidRDefault="00474F98" w:rsidP="00474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D12EC4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D12EC4">
        <w:rPr>
          <w:rFonts w:ascii="Times New Roman" w:hAnsi="Times New Roman" w:cs="Times New Roman"/>
          <w:b/>
          <w:sz w:val="24"/>
          <w:szCs w:val="24"/>
        </w:rPr>
        <w:t>.</w:t>
      </w:r>
      <w:r w:rsidRPr="00ED639B">
        <w:rPr>
          <w:rFonts w:ascii="Times New Roman" w:hAnsi="Times New Roman" w:cs="Times New Roman"/>
          <w:sz w:val="24"/>
          <w:szCs w:val="24"/>
        </w:rPr>
        <w:t xml:space="preserve">  </w:t>
      </w:r>
      <w:r w:rsidRPr="00D12EC4">
        <w:rPr>
          <w:rFonts w:ascii="Times New Roman" w:hAnsi="Times New Roman" w:cs="Times New Roman"/>
          <w:bCs/>
          <w:sz w:val="24"/>
          <w:szCs w:val="24"/>
        </w:rPr>
        <w:t>Absolute quantification of transgene copy number in</w:t>
      </w:r>
      <w:r w:rsidRPr="00D12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C4">
        <w:rPr>
          <w:rFonts w:ascii="Times New Roman" w:hAnsi="Times New Roman" w:cs="Times New Roman"/>
          <w:i/>
          <w:sz w:val="24"/>
          <w:szCs w:val="24"/>
        </w:rPr>
        <w:t>C3siRNA-</w:t>
      </w:r>
      <w:r w:rsidRPr="00D12EC4">
        <w:rPr>
          <w:rFonts w:ascii="Times New Roman" w:hAnsi="Times New Roman" w:cs="Times New Roman"/>
          <w:sz w:val="24"/>
          <w:szCs w:val="24"/>
        </w:rPr>
        <w:t xml:space="preserve"> and </w:t>
      </w:r>
      <w:r w:rsidRPr="00D12EC4">
        <w:rPr>
          <w:rFonts w:ascii="Times New Roman" w:hAnsi="Times New Roman" w:cs="Times New Roman"/>
          <w:i/>
          <w:sz w:val="24"/>
          <w:szCs w:val="24"/>
        </w:rPr>
        <w:t>CF7siRNA</w:t>
      </w:r>
      <w:r w:rsidRPr="00D12EC4">
        <w:rPr>
          <w:rFonts w:ascii="Times New Roman" w:hAnsi="Times New Roman" w:cs="Times New Roman"/>
          <w:sz w:val="24"/>
          <w:szCs w:val="24"/>
        </w:rPr>
        <w:t xml:space="preserve">-expressing lettuces using quantitative real-time PCR.  (A)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2EC4">
        <w:rPr>
          <w:rFonts w:ascii="Times New Roman" w:hAnsi="Times New Roman" w:cs="Times New Roman"/>
          <w:sz w:val="24"/>
          <w:szCs w:val="24"/>
        </w:rPr>
        <w:t xml:space="preserve">tandard curve showing Ct values plotted against a series of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D12EC4">
        <w:rPr>
          <w:rFonts w:ascii="Times New Roman" w:hAnsi="Times New Roman" w:cs="Times New Roman"/>
          <w:sz w:val="24"/>
          <w:szCs w:val="24"/>
        </w:rPr>
        <w:t xml:space="preserve">fold DNA dilutions.  (B) Transgene copy number results using standard curve for primary C3 and CF-7 </w:t>
      </w:r>
      <w:r w:rsidRPr="00E61A01">
        <w:rPr>
          <w:rFonts w:ascii="Times New Roman" w:hAnsi="Times New Roman" w:cs="Times New Roman"/>
          <w:sz w:val="24"/>
          <w:szCs w:val="24"/>
        </w:rPr>
        <w:t xml:space="preserve">artificial microRNA </w:t>
      </w:r>
      <w:r w:rsidRPr="00D12EC4">
        <w:rPr>
          <w:rFonts w:ascii="Times New Roman" w:hAnsi="Times New Roman" w:cs="Times New Roman"/>
          <w:sz w:val="24"/>
          <w:szCs w:val="24"/>
        </w:rPr>
        <w:t xml:space="preserve">backbones.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C4">
        <w:rPr>
          <w:rFonts w:ascii="Times New Roman" w:hAnsi="Times New Roman" w:cs="Times New Roman"/>
          <w:sz w:val="24"/>
          <w:szCs w:val="24"/>
        </w:rPr>
        <w:t xml:space="preserve">Data were analyzed using </w:t>
      </w:r>
      <w:r w:rsidRPr="00D12EC4">
        <w:rPr>
          <w:rFonts w:ascii="Times New Roman" w:hAnsi="Times New Roman" w:cs="Times New Roman"/>
          <w:iCs/>
          <w:sz w:val="24"/>
          <w:szCs w:val="24"/>
        </w:rPr>
        <w:t>Ct</w:t>
      </w:r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>(samples)</w:t>
      </w:r>
      <w:r w:rsidRPr="00D12EC4">
        <w:rPr>
          <w:rFonts w:ascii="Times New Roman" w:hAnsi="Times New Roman" w:cs="Times New Roman"/>
          <w:iCs/>
          <w:sz w:val="24"/>
          <w:szCs w:val="24"/>
        </w:rPr>
        <w:t>=slope</w:t>
      </w:r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>(</w:t>
      </w:r>
      <w:proofErr w:type="gramStart"/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>standard.curve</w:t>
      </w:r>
      <w:proofErr w:type="gramEnd"/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>)</w:t>
      </w:r>
      <w:r w:rsidRPr="00D12EC4">
        <w:rPr>
          <w:rFonts w:ascii="Times New Roman" w:hAnsi="Times New Roman" w:cs="Times New Roman"/>
          <w:iCs/>
          <w:sz w:val="24"/>
          <w:szCs w:val="24"/>
        </w:rPr>
        <w:t>×log</w:t>
      </w:r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>(copy.number)</w:t>
      </w:r>
      <w:r w:rsidRPr="00D12EC4">
        <w:rPr>
          <w:rFonts w:ascii="Times New Roman" w:hAnsi="Times New Roman" w:cs="Times New Roman"/>
          <w:iCs/>
          <w:sz w:val="24"/>
          <w:szCs w:val="24"/>
        </w:rPr>
        <w:t>+intercept</w:t>
      </w:r>
      <w:r w:rsidRPr="00D12EC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(standard.curve) </w:t>
      </w:r>
      <w:r w:rsidRPr="00D12EC4">
        <w:rPr>
          <w:rFonts w:ascii="Times New Roman" w:hAnsi="Times New Roman" w:cs="Times New Roman"/>
          <w:iCs/>
          <w:sz w:val="24"/>
          <w:szCs w:val="24"/>
        </w:rPr>
        <w:t xml:space="preserve">formula. </w:t>
      </w:r>
    </w:p>
    <w:p w14:paraId="615EF720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3B6078" w14:textId="77777777" w:rsidR="00474F98" w:rsidRPr="00BC3BDF" w:rsidRDefault="00474F98" w:rsidP="00474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Supplementary F</w:t>
      </w:r>
      <w:r w:rsidRPr="00BC3BDF">
        <w:rPr>
          <w:rFonts w:ascii="Times New Roman" w:hAnsi="Times New Roman" w:cs="Times New Roman"/>
          <w:b/>
          <w:sz w:val="28"/>
          <w:szCs w:val="28"/>
        </w:rPr>
        <w:t xml:space="preserve">igure </w:t>
      </w:r>
      <w:r>
        <w:rPr>
          <w:rFonts w:ascii="Times New Roman" w:hAnsi="Times New Roman" w:cs="Times New Roman"/>
          <w:b/>
          <w:sz w:val="28"/>
          <w:szCs w:val="28"/>
        </w:rPr>
        <w:t>S3</w:t>
      </w:r>
    </w:p>
    <w:p w14:paraId="67F086E6" w14:textId="77777777" w:rsidR="00474F98" w:rsidRPr="00362B74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2550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815ED" w14:textId="77777777" w:rsidR="00474F98" w:rsidRPr="00362B74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DF0DA" w14:textId="4625E09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FBF8F" wp14:editId="52D4BB65">
            <wp:extent cx="5934075" cy="1943100"/>
            <wp:effectExtent l="0" t="0" r="9525" b="0"/>
            <wp:docPr id="6" name="Picture 6" descr="Lettuce_RNAiBiotechniques_figs_edited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ttuce_RNAiBiotechniques_figs_edited2-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21213" r="6573" b="2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A72D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323DE" w14:textId="77777777" w:rsidR="00474F98" w:rsidRPr="00362B74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D02C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BF08CC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BF08CC">
        <w:rPr>
          <w:rFonts w:ascii="Times New Roman" w:hAnsi="Times New Roman" w:cs="Times New Roman"/>
          <w:b/>
          <w:sz w:val="24"/>
          <w:szCs w:val="24"/>
        </w:rPr>
        <w:t>.</w:t>
      </w:r>
      <w:r w:rsidRPr="004D2C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BF08CC">
        <w:rPr>
          <w:rFonts w:ascii="Times New Roman" w:hAnsi="Times New Roman" w:cs="Times New Roman"/>
          <w:bCs/>
          <w:sz w:val="24"/>
          <w:szCs w:val="24"/>
        </w:rPr>
        <w:t xml:space="preserve">uantitative real-time PCR analysis of mature C3 and CF7 </w:t>
      </w:r>
      <w:r w:rsidRPr="00E61A01">
        <w:rPr>
          <w:rFonts w:ascii="Times New Roman" w:hAnsi="Times New Roman" w:cs="Times New Roman"/>
          <w:bCs/>
          <w:sz w:val="24"/>
          <w:szCs w:val="24"/>
        </w:rPr>
        <w:t>artificial microRNA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61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BF08CC">
        <w:rPr>
          <w:rFonts w:ascii="Times New Roman" w:hAnsi="Times New Roman" w:cs="Times New Roman"/>
          <w:bCs/>
          <w:sz w:val="24"/>
          <w:szCs w:val="24"/>
        </w:rPr>
        <w:t>RNAs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F08CC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BF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CC">
        <w:rPr>
          <w:rFonts w:ascii="Times New Roman" w:hAnsi="Times New Roman" w:cs="Times New Roman"/>
          <w:i/>
          <w:sz w:val="24"/>
          <w:szCs w:val="24"/>
        </w:rPr>
        <w:t>C3siRNA-</w:t>
      </w:r>
      <w:r w:rsidRPr="00BF08CC">
        <w:rPr>
          <w:rFonts w:ascii="Times New Roman" w:hAnsi="Times New Roman" w:cs="Times New Roman"/>
          <w:sz w:val="24"/>
          <w:szCs w:val="24"/>
        </w:rPr>
        <w:t xml:space="preserve"> and </w:t>
      </w:r>
      <w:r w:rsidRPr="00BF08CC">
        <w:rPr>
          <w:rFonts w:ascii="Times New Roman" w:hAnsi="Times New Roman" w:cs="Times New Roman"/>
          <w:i/>
          <w:sz w:val="24"/>
          <w:szCs w:val="24"/>
        </w:rPr>
        <w:t>CF7siRNA</w:t>
      </w:r>
      <w:r w:rsidRPr="00BF08CC">
        <w:rPr>
          <w:rFonts w:ascii="Times New Roman" w:hAnsi="Times New Roman" w:cs="Times New Roman"/>
          <w:sz w:val="24"/>
          <w:szCs w:val="24"/>
        </w:rPr>
        <w:t xml:space="preserve">-expressing lettuces using stem-loop primer.  (A) Fold change expression of mature C3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r w:rsidRPr="00BF08CC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Pr="00BF08CC">
        <w:rPr>
          <w:rFonts w:ascii="Times New Roman" w:hAnsi="Times New Roman" w:cs="Times New Roman"/>
          <w:sz w:val="24"/>
          <w:szCs w:val="24"/>
        </w:rPr>
        <w:t xml:space="preserve"> in different transgenic lines compared to line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8CC">
        <w:rPr>
          <w:rFonts w:ascii="Times New Roman" w:hAnsi="Times New Roman" w:cs="Times New Roman"/>
          <w:sz w:val="24"/>
          <w:szCs w:val="24"/>
        </w:rPr>
        <w:t xml:space="preserve">lowest expression level of C3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r w:rsidRPr="00BF08CC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Pr="00BF08CC">
        <w:rPr>
          <w:rFonts w:ascii="Times New Roman" w:hAnsi="Times New Roman" w:cs="Times New Roman"/>
          <w:sz w:val="24"/>
          <w:szCs w:val="24"/>
        </w:rPr>
        <w:t xml:space="preserve">.  (B) Fold change expression of mature C7 </w:t>
      </w:r>
      <w:proofErr w:type="spellStart"/>
      <w:r w:rsidRPr="00BF08CC">
        <w:rPr>
          <w:rFonts w:ascii="Times New Roman" w:hAnsi="Times New Roman" w:cs="Times New Roman"/>
          <w:sz w:val="24"/>
          <w:szCs w:val="24"/>
        </w:rPr>
        <w:t>amiRNA</w:t>
      </w:r>
      <w:proofErr w:type="spellEnd"/>
      <w:r w:rsidRPr="00BF08CC">
        <w:rPr>
          <w:rFonts w:ascii="Times New Roman" w:hAnsi="Times New Roman" w:cs="Times New Roman"/>
          <w:sz w:val="24"/>
          <w:szCs w:val="24"/>
        </w:rPr>
        <w:t xml:space="preserve"> in different transgenic lines compared to line with the lowest expression level of C7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r w:rsidRPr="00BF08CC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Pr="00BF08CC">
        <w:rPr>
          <w:rFonts w:ascii="Times New Roman" w:hAnsi="Times New Roman" w:cs="Times New Roman"/>
          <w:sz w:val="24"/>
          <w:szCs w:val="24"/>
        </w:rPr>
        <w:t xml:space="preserve">.  </w:t>
      </w:r>
      <w:r w:rsidRPr="00BF08CC">
        <w:rPr>
          <w:rFonts w:ascii="Times New Roman" w:hAnsi="Times New Roman" w:cs="Times New Roman"/>
          <w:i/>
          <w:iCs/>
          <w:sz w:val="24"/>
          <w:szCs w:val="24"/>
        </w:rPr>
        <w:t>TIP-41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08CC">
        <w:rPr>
          <w:rFonts w:ascii="Times New Roman" w:hAnsi="Times New Roman" w:cs="Times New Roman"/>
          <w:sz w:val="24"/>
          <w:szCs w:val="24"/>
        </w:rPr>
        <w:t>Tonoplastic</w:t>
      </w:r>
      <w:proofErr w:type="spellEnd"/>
      <w:r w:rsidRPr="00BF08CC">
        <w:rPr>
          <w:rFonts w:ascii="Times New Roman" w:hAnsi="Times New Roman" w:cs="Times New Roman"/>
          <w:sz w:val="24"/>
          <w:szCs w:val="24"/>
        </w:rPr>
        <w:t xml:space="preserve"> intrinsic 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CC">
        <w:rPr>
          <w:rFonts w:ascii="Times New Roman" w:hAnsi="Times New Roman" w:cs="Times New Roman"/>
          <w:sz w:val="24"/>
          <w:szCs w:val="24"/>
        </w:rPr>
        <w:t>41) was used as internal control</w:t>
      </w:r>
      <w:r>
        <w:rPr>
          <w:rFonts w:ascii="Times New Roman" w:hAnsi="Times New Roman" w:cs="Times New Roman"/>
          <w:sz w:val="24"/>
          <w:szCs w:val="24"/>
        </w:rPr>
        <w:t xml:space="preserve"> and data were analyzed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</w:t>
      </w:r>
      <w:r w:rsidRPr="00BF0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CC">
        <w:rPr>
          <w:rFonts w:ascii="Times New Roman" w:hAnsi="Times New Roman" w:cs="Times New Roman"/>
          <w:sz w:val="24"/>
          <w:szCs w:val="24"/>
        </w:rPr>
        <w:t>Primer sequences are shown in Table 1.</w:t>
      </w:r>
    </w:p>
    <w:p w14:paraId="1225D744" w14:textId="77777777" w:rsidR="00474F98" w:rsidRDefault="00474F98" w:rsidP="00474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C016C8" w14:textId="77777777" w:rsidR="00474F98" w:rsidRPr="00A61F20" w:rsidRDefault="00474F98" w:rsidP="00474F98">
      <w:pPr>
        <w:tabs>
          <w:tab w:val="left" w:pos="10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61F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61F20">
        <w:rPr>
          <w:rFonts w:ascii="Times New Roman" w:hAnsi="Times New Roman" w:cs="Times New Roman"/>
          <w:b/>
          <w:bCs/>
          <w:sz w:val="28"/>
          <w:szCs w:val="28"/>
        </w:rPr>
        <w:t xml:space="preserve">able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61F2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436D0A4" w14:textId="77777777" w:rsidR="00474F98" w:rsidRPr="00CB320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F298C" w14:textId="77777777" w:rsidR="00474F98" w:rsidRPr="00CB320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9D75E" w14:textId="77777777" w:rsidR="00474F98" w:rsidRPr="00CB3208" w:rsidRDefault="00474F98" w:rsidP="00474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20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S1. </w:t>
      </w:r>
      <w:r w:rsidRPr="00CB3208">
        <w:rPr>
          <w:rFonts w:ascii="Times New Roman" w:hAnsi="Times New Roman" w:cs="Times New Roman"/>
          <w:sz w:val="24"/>
          <w:szCs w:val="24"/>
        </w:rPr>
        <w:t>Primer sequences for siRNA cloning.</w:t>
      </w:r>
      <w:r w:rsidRPr="00CB3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682690" w14:textId="2156F22B" w:rsidR="00474F98" w:rsidRPr="00D12EC4" w:rsidRDefault="00474F98" w:rsidP="00474F98">
      <w:pPr>
        <w:tabs>
          <w:tab w:val="left" w:pos="1035"/>
        </w:tabs>
        <w:rPr>
          <w:noProof/>
        </w:rPr>
      </w:pPr>
      <w:r>
        <w:rPr>
          <w:noProof/>
        </w:rPr>
        <w:drawing>
          <wp:inline distT="0" distB="0" distL="0" distR="0" wp14:anchorId="4B54871F" wp14:editId="0352FA3F">
            <wp:extent cx="5943600" cy="2000250"/>
            <wp:effectExtent l="0" t="0" r="0" b="0"/>
            <wp:docPr id="5" name="Picture 5" descr="Lettuce_RNAiBiotechniques_figs_edited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ttuce_RNAiBiotechniques_figs_edited2-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3" t="25757" r="9508" b="2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0389" w14:textId="77777777" w:rsidR="00736558" w:rsidRDefault="00736558">
      <w:bookmarkStart w:id="0" w:name="_GoBack"/>
      <w:bookmarkEnd w:id="0"/>
    </w:p>
    <w:sectPr w:rsidR="00736558" w:rsidSect="0060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98"/>
    <w:rsid w:val="000A3119"/>
    <w:rsid w:val="00474F98"/>
    <w:rsid w:val="007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217A"/>
  <w15:chartTrackingRefBased/>
  <w15:docId w15:val="{C29A2247-F462-4325-83CF-B2A5F86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Gordon</dc:creator>
  <cp:keywords/>
  <dc:description/>
  <cp:lastModifiedBy>Katherine Gordon</cp:lastModifiedBy>
  <cp:revision>1</cp:revision>
  <dcterms:created xsi:type="dcterms:W3CDTF">2019-12-05T12:24:00Z</dcterms:created>
  <dcterms:modified xsi:type="dcterms:W3CDTF">2019-12-05T12:25:00Z</dcterms:modified>
</cp:coreProperties>
</file>