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8E" w:rsidRDefault="00755F8E" w:rsidP="00755F8E">
      <w:bookmarkStart w:id="0" w:name="_GoBack"/>
      <w:bookmarkEnd w:id="0"/>
      <w:proofErr w:type="gramStart"/>
      <w:r w:rsidRPr="00384EA4">
        <w:rPr>
          <w:b/>
        </w:rPr>
        <w:t>Supplemental Table 1.</w:t>
      </w:r>
      <w:proofErr w:type="gramEnd"/>
      <w:r w:rsidRPr="00384EA4">
        <w:rPr>
          <w:b/>
        </w:rPr>
        <w:t xml:space="preserve"> </w:t>
      </w:r>
      <w:r>
        <w:rPr>
          <w:b/>
        </w:rPr>
        <w:t>Spearman rank order correlations between individual analysis methods.  Significant (p&lt;0.05) coefficients (</w:t>
      </w:r>
      <w:proofErr w:type="spellStart"/>
      <w:r>
        <w:rPr>
          <w:b/>
        </w:rPr>
        <w:t>r</w:t>
      </w:r>
      <w:r w:rsidRPr="008011BB">
        <w:rPr>
          <w:b/>
          <w:vertAlign w:val="subscript"/>
        </w:rPr>
        <w:t>s</w:t>
      </w:r>
      <w:proofErr w:type="spellEnd"/>
      <w:r>
        <w:rPr>
          <w:b/>
        </w:rPr>
        <w:t xml:space="preserve">) are indicated in bold. </w:t>
      </w:r>
    </w:p>
    <w:tbl>
      <w:tblPr>
        <w:tblStyle w:val="TableGrid"/>
        <w:tblW w:w="9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134"/>
        <w:gridCol w:w="992"/>
        <w:gridCol w:w="850"/>
        <w:gridCol w:w="896"/>
        <w:gridCol w:w="805"/>
        <w:gridCol w:w="818"/>
        <w:gridCol w:w="872"/>
      </w:tblGrid>
      <w:tr w:rsidR="00755F8E" w:rsidRPr="002271B2" w:rsidTr="00113025">
        <w:trPr>
          <w:trHeight w:val="45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55F8E" w:rsidRPr="002271B2" w:rsidRDefault="00755F8E" w:rsidP="00113025">
            <w:pPr>
              <w:spacing w:line="48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(a</w:t>
            </w:r>
            <w:r w:rsidRPr="002271B2">
              <w:rPr>
                <w:vertAlign w:val="subscript"/>
              </w:rPr>
              <w:t>1</w:t>
            </w:r>
            <w:r w:rsidRPr="002271B2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(b</w:t>
            </w:r>
            <w:r w:rsidRPr="002271B2">
              <w:rPr>
                <w:vertAlign w:val="subscript"/>
              </w:rPr>
              <w:t>1</w:t>
            </w:r>
            <w:r w:rsidRPr="002271B2"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(c</w:t>
            </w:r>
            <w:r w:rsidRPr="002271B2">
              <w:rPr>
                <w:vertAlign w:val="subscript"/>
              </w:rPr>
              <w:t>1</w:t>
            </w:r>
            <w:r w:rsidRPr="002271B2"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(d</w:t>
            </w:r>
            <w:r w:rsidRPr="002271B2">
              <w:rPr>
                <w:vertAlign w:val="subscript"/>
              </w:rPr>
              <w:t>1</w:t>
            </w:r>
            <w:r w:rsidRPr="002271B2">
              <w:t>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(a</w:t>
            </w:r>
            <w:r w:rsidRPr="002271B2">
              <w:rPr>
                <w:vertAlign w:val="subscript"/>
              </w:rPr>
              <w:t>2</w:t>
            </w:r>
            <w:r w:rsidRPr="002271B2">
              <w:t>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(b</w:t>
            </w:r>
            <w:r w:rsidRPr="002271B2">
              <w:rPr>
                <w:vertAlign w:val="subscript"/>
              </w:rPr>
              <w:t>2</w:t>
            </w:r>
            <w:r w:rsidRPr="002271B2">
              <w:t>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(c</w:t>
            </w:r>
            <w:r w:rsidRPr="002271B2">
              <w:rPr>
                <w:vertAlign w:val="subscript"/>
              </w:rPr>
              <w:t>2</w:t>
            </w:r>
            <w:r w:rsidRPr="002271B2">
              <w:t>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2271B2" w:rsidRDefault="00755F8E" w:rsidP="00113025">
            <w:pPr>
              <w:spacing w:line="480" w:lineRule="auto"/>
              <w:jc w:val="center"/>
            </w:pPr>
            <w:r w:rsidRPr="002271B2">
              <w:t>(d</w:t>
            </w:r>
            <w:r w:rsidRPr="002271B2">
              <w:rPr>
                <w:vertAlign w:val="subscript"/>
              </w:rPr>
              <w:t>2</w:t>
            </w:r>
            <w:r w:rsidRPr="002271B2">
              <w:t>)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tcBorders>
              <w:top w:val="single" w:sz="4" w:space="0" w:color="auto"/>
            </w:tcBorders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(a</w:t>
            </w:r>
            <w:r w:rsidRPr="002271B2">
              <w:rPr>
                <w:vertAlign w:val="subscript"/>
              </w:rPr>
              <w:t>1</w:t>
            </w:r>
            <w:r w:rsidRPr="002271B2">
              <w:t>) our method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0.759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0.977</w:t>
            </w:r>
          </w:p>
        </w:tc>
        <w:tc>
          <w:tcPr>
            <w:tcW w:w="805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0.589</w:t>
            </w:r>
          </w:p>
        </w:tc>
        <w:tc>
          <w:tcPr>
            <w:tcW w:w="818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-0.362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0.711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(b</w:t>
            </w:r>
            <w:r w:rsidRPr="002271B2">
              <w:rPr>
                <w:vertAlign w:val="subscript"/>
              </w:rPr>
              <w:t>1</w:t>
            </w:r>
            <w:r w:rsidRPr="002271B2">
              <w:t>) Jenkins et al., 2017</w:t>
            </w:r>
          </w:p>
        </w:tc>
        <w:tc>
          <w:tcPr>
            <w:tcW w:w="851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1134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99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0.732</w:t>
            </w:r>
          </w:p>
        </w:tc>
        <w:tc>
          <w:tcPr>
            <w:tcW w:w="850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0.882</w:t>
            </w:r>
          </w:p>
        </w:tc>
        <w:tc>
          <w:tcPr>
            <w:tcW w:w="896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0.810</w:t>
            </w:r>
          </w:p>
        </w:tc>
        <w:tc>
          <w:tcPr>
            <w:tcW w:w="805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0.911</w:t>
            </w:r>
          </w:p>
        </w:tc>
        <w:tc>
          <w:tcPr>
            <w:tcW w:w="818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-0.604</w:t>
            </w:r>
          </w:p>
        </w:tc>
        <w:tc>
          <w:tcPr>
            <w:tcW w:w="87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0.829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(c</w:t>
            </w:r>
            <w:r w:rsidRPr="002271B2">
              <w:rPr>
                <w:vertAlign w:val="subscript"/>
              </w:rPr>
              <w:t>1</w:t>
            </w:r>
            <w:r w:rsidRPr="002271B2">
              <w:t>) Mender &amp; Shay, 2015</w:t>
            </w:r>
          </w:p>
        </w:tc>
        <w:tc>
          <w:tcPr>
            <w:tcW w:w="851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0.628</w:t>
            </w:r>
          </w:p>
        </w:tc>
        <w:tc>
          <w:tcPr>
            <w:tcW w:w="1134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0.732</w:t>
            </w:r>
          </w:p>
        </w:tc>
        <w:tc>
          <w:tcPr>
            <w:tcW w:w="99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50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0.802</w:t>
            </w:r>
          </w:p>
        </w:tc>
        <w:tc>
          <w:tcPr>
            <w:tcW w:w="896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0.593</w:t>
            </w:r>
          </w:p>
        </w:tc>
        <w:tc>
          <w:tcPr>
            <w:tcW w:w="805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0.676</w:t>
            </w:r>
          </w:p>
        </w:tc>
        <w:tc>
          <w:tcPr>
            <w:tcW w:w="818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-0.294</w:t>
            </w:r>
          </w:p>
        </w:tc>
        <w:tc>
          <w:tcPr>
            <w:tcW w:w="87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0.849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(d</w:t>
            </w:r>
            <w:r w:rsidRPr="002271B2">
              <w:rPr>
                <w:vertAlign w:val="subscript"/>
              </w:rPr>
              <w:t>1</w:t>
            </w:r>
            <w:r w:rsidRPr="002271B2">
              <w:t>) Kimura et al.,  2010</w:t>
            </w:r>
          </w:p>
        </w:tc>
        <w:tc>
          <w:tcPr>
            <w:tcW w:w="851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0.759</w:t>
            </w:r>
          </w:p>
        </w:tc>
        <w:tc>
          <w:tcPr>
            <w:tcW w:w="1134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0.882</w:t>
            </w:r>
          </w:p>
        </w:tc>
        <w:tc>
          <w:tcPr>
            <w:tcW w:w="99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0.802</w:t>
            </w:r>
          </w:p>
        </w:tc>
        <w:tc>
          <w:tcPr>
            <w:tcW w:w="850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96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805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818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-0.575</w:t>
            </w:r>
          </w:p>
        </w:tc>
        <w:tc>
          <w:tcPr>
            <w:tcW w:w="87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0.903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(a</w:t>
            </w:r>
            <w:r w:rsidRPr="002271B2">
              <w:rPr>
                <w:vertAlign w:val="subscript"/>
              </w:rPr>
              <w:t>2</w:t>
            </w:r>
            <w:r w:rsidRPr="002271B2">
              <w:t>) our method</w:t>
            </w:r>
          </w:p>
        </w:tc>
        <w:tc>
          <w:tcPr>
            <w:tcW w:w="851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0.977</w:t>
            </w:r>
          </w:p>
        </w:tc>
        <w:tc>
          <w:tcPr>
            <w:tcW w:w="1134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0.810</w:t>
            </w:r>
          </w:p>
        </w:tc>
        <w:tc>
          <w:tcPr>
            <w:tcW w:w="99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0.593</w:t>
            </w:r>
          </w:p>
        </w:tc>
        <w:tc>
          <w:tcPr>
            <w:tcW w:w="850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896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05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0.635</w:t>
            </w:r>
          </w:p>
        </w:tc>
        <w:tc>
          <w:tcPr>
            <w:tcW w:w="818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-0.404</w:t>
            </w:r>
          </w:p>
        </w:tc>
        <w:tc>
          <w:tcPr>
            <w:tcW w:w="87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0.740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(b</w:t>
            </w:r>
            <w:r w:rsidRPr="002271B2">
              <w:rPr>
                <w:vertAlign w:val="subscript"/>
              </w:rPr>
              <w:t>2</w:t>
            </w:r>
            <w:r w:rsidRPr="002271B2">
              <w:t>) Jenkins et al., 2017</w:t>
            </w:r>
          </w:p>
        </w:tc>
        <w:tc>
          <w:tcPr>
            <w:tcW w:w="851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0.589</w:t>
            </w:r>
          </w:p>
        </w:tc>
        <w:tc>
          <w:tcPr>
            <w:tcW w:w="1134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0.911</w:t>
            </w:r>
          </w:p>
        </w:tc>
        <w:tc>
          <w:tcPr>
            <w:tcW w:w="99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0.676</w:t>
            </w:r>
          </w:p>
        </w:tc>
        <w:tc>
          <w:tcPr>
            <w:tcW w:w="850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896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0.635</w:t>
            </w:r>
          </w:p>
        </w:tc>
        <w:tc>
          <w:tcPr>
            <w:tcW w:w="805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18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-0.428</w:t>
            </w:r>
          </w:p>
        </w:tc>
        <w:tc>
          <w:tcPr>
            <w:tcW w:w="87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0.695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(c</w:t>
            </w:r>
            <w:r w:rsidRPr="002271B2">
              <w:rPr>
                <w:vertAlign w:val="subscript"/>
              </w:rPr>
              <w:t>2</w:t>
            </w:r>
            <w:r w:rsidRPr="002271B2">
              <w:t>) Mender &amp; Shay, 2015</w:t>
            </w:r>
          </w:p>
        </w:tc>
        <w:tc>
          <w:tcPr>
            <w:tcW w:w="851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-0.362</w:t>
            </w:r>
          </w:p>
        </w:tc>
        <w:tc>
          <w:tcPr>
            <w:tcW w:w="1134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-0.604</w:t>
            </w:r>
          </w:p>
        </w:tc>
        <w:tc>
          <w:tcPr>
            <w:tcW w:w="99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-0.294</w:t>
            </w:r>
          </w:p>
        </w:tc>
        <w:tc>
          <w:tcPr>
            <w:tcW w:w="850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-0.575</w:t>
            </w:r>
          </w:p>
        </w:tc>
        <w:tc>
          <w:tcPr>
            <w:tcW w:w="896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-0.404</w:t>
            </w:r>
          </w:p>
        </w:tc>
        <w:tc>
          <w:tcPr>
            <w:tcW w:w="805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-0.428</w:t>
            </w:r>
          </w:p>
        </w:tc>
        <w:tc>
          <w:tcPr>
            <w:tcW w:w="818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7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-0.556</w:t>
            </w:r>
          </w:p>
        </w:tc>
      </w:tr>
      <w:tr w:rsidR="00755F8E" w:rsidRPr="002271B2" w:rsidTr="00113025">
        <w:trPr>
          <w:trHeight w:val="300"/>
        </w:trPr>
        <w:tc>
          <w:tcPr>
            <w:tcW w:w="2518" w:type="dxa"/>
            <w:noWrap/>
            <w:vAlign w:val="bottom"/>
          </w:tcPr>
          <w:p w:rsidR="00755F8E" w:rsidRPr="002271B2" w:rsidRDefault="00755F8E" w:rsidP="00113025">
            <w:pPr>
              <w:spacing w:line="480" w:lineRule="auto"/>
              <w:rPr>
                <w:sz w:val="24"/>
                <w:szCs w:val="24"/>
              </w:rPr>
            </w:pPr>
            <w:r w:rsidRPr="002271B2">
              <w:t>(d</w:t>
            </w:r>
            <w:r w:rsidRPr="002271B2">
              <w:rPr>
                <w:vertAlign w:val="subscript"/>
              </w:rPr>
              <w:t>2</w:t>
            </w:r>
            <w:r w:rsidRPr="002271B2">
              <w:t>) Kimura et al.,  2010</w:t>
            </w:r>
          </w:p>
        </w:tc>
        <w:tc>
          <w:tcPr>
            <w:tcW w:w="851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0.711</w:t>
            </w:r>
          </w:p>
        </w:tc>
        <w:tc>
          <w:tcPr>
            <w:tcW w:w="1134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0.829</w:t>
            </w:r>
          </w:p>
        </w:tc>
        <w:tc>
          <w:tcPr>
            <w:tcW w:w="99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0.849</w:t>
            </w:r>
          </w:p>
        </w:tc>
        <w:tc>
          <w:tcPr>
            <w:tcW w:w="850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0.903</w:t>
            </w:r>
          </w:p>
        </w:tc>
        <w:tc>
          <w:tcPr>
            <w:tcW w:w="896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0.740</w:t>
            </w:r>
          </w:p>
        </w:tc>
        <w:tc>
          <w:tcPr>
            <w:tcW w:w="805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818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-0.556</w:t>
            </w:r>
          </w:p>
        </w:tc>
        <w:tc>
          <w:tcPr>
            <w:tcW w:w="872" w:type="dxa"/>
            <w:noWrap/>
          </w:tcPr>
          <w:p w:rsidR="00755F8E" w:rsidRPr="001B5AD1" w:rsidRDefault="00755F8E" w:rsidP="00113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AD1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</w:tbl>
    <w:p w:rsidR="00755F8E" w:rsidRDefault="00755F8E" w:rsidP="00755F8E">
      <w:r w:rsidRPr="00EA264E">
        <w:t>(a</w:t>
      </w:r>
      <w:r w:rsidRPr="00EA264E">
        <w:rPr>
          <w:vertAlign w:val="subscript"/>
        </w:rPr>
        <w:t>1</w:t>
      </w:r>
      <w:r w:rsidRPr="00EA264E">
        <w:t xml:space="preserve">) </w:t>
      </w:r>
      <w:proofErr w:type="gramStart"/>
      <w:r w:rsidR="00090192">
        <w:t xml:space="preserve">to </w:t>
      </w:r>
      <w:r w:rsidRPr="00EA264E">
        <w:t xml:space="preserve"> (</w:t>
      </w:r>
      <w:proofErr w:type="gramEnd"/>
      <w:r w:rsidRPr="00EA264E">
        <w:t>d</w:t>
      </w:r>
      <w:r w:rsidRPr="00EA264E">
        <w:rPr>
          <w:vertAlign w:val="subscript"/>
        </w:rPr>
        <w:t>1</w:t>
      </w:r>
      <w:r w:rsidRPr="00EA264E">
        <w:t>)</w:t>
      </w:r>
      <w:r>
        <w:t>= MTL1, (a</w:t>
      </w:r>
      <w:r w:rsidRPr="00EA264E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EA264E">
        <w:t>)</w:t>
      </w:r>
      <w:r>
        <w:t xml:space="preserve"> </w:t>
      </w:r>
      <w:r w:rsidR="00090192">
        <w:t>to</w:t>
      </w:r>
      <w:r>
        <w:t xml:space="preserve"> (d</w:t>
      </w:r>
      <w:r w:rsidRPr="00EA264E">
        <w:rPr>
          <w:vertAlign w:val="subscript"/>
        </w:rPr>
        <w:t>2</w:t>
      </w:r>
      <w:r>
        <w:t>)=MTL2</w:t>
      </w:r>
      <w:r w:rsidR="00090192">
        <w:t>, MTL=mean telomere length</w:t>
      </w:r>
    </w:p>
    <w:p w:rsidR="00755F8E" w:rsidRDefault="00755F8E" w:rsidP="00755F8E"/>
    <w:p w:rsidR="00755F8E" w:rsidRDefault="00755F8E" w:rsidP="00755F8E">
      <w:r>
        <w:br w:type="page"/>
      </w:r>
    </w:p>
    <w:p w:rsidR="00755F8E" w:rsidRDefault="00755F8E" w:rsidP="00755F8E"/>
    <w:p w:rsidR="00755F8E" w:rsidRDefault="00755F8E" w:rsidP="00755F8E">
      <w:pPr>
        <w:rPr>
          <w:b/>
        </w:rPr>
      </w:pPr>
      <w:proofErr w:type="gramStart"/>
      <w:r>
        <w:rPr>
          <w:b/>
        </w:rPr>
        <w:t>Supplemental Table 2</w:t>
      </w:r>
      <w:r w:rsidRPr="00453B12">
        <w:rPr>
          <w:b/>
        </w:rPr>
        <w:t>.</w:t>
      </w:r>
      <w:proofErr w:type="gramEnd"/>
      <w:r w:rsidRPr="00453B12">
        <w:rPr>
          <w:b/>
        </w:rPr>
        <w:t xml:space="preserve"> </w:t>
      </w:r>
      <w:r>
        <w:rPr>
          <w:b/>
        </w:rPr>
        <w:t xml:space="preserve">Impact of amount of starting DNA on </w:t>
      </w:r>
      <w:r w:rsidRPr="00453B12">
        <w:rPr>
          <w:b/>
        </w:rPr>
        <w:t>telomere length</w:t>
      </w:r>
      <w:r>
        <w:rPr>
          <w:b/>
        </w:rPr>
        <w:t>s</w:t>
      </w:r>
      <w:r w:rsidRPr="00453B12">
        <w:rPr>
          <w:b/>
        </w:rPr>
        <w:t xml:space="preserve"> </w:t>
      </w:r>
      <w:r>
        <w:rPr>
          <w:b/>
        </w:rPr>
        <w:t xml:space="preserve">(n=3) calculated </w:t>
      </w:r>
      <w:r w:rsidRPr="00453B12">
        <w:rPr>
          <w:b/>
        </w:rPr>
        <w:t xml:space="preserve">using </w:t>
      </w:r>
      <w:r>
        <w:rPr>
          <w:b/>
        </w:rPr>
        <w:t xml:space="preserve">4 different analysis methods and applying 2 different equations. </w:t>
      </w:r>
    </w:p>
    <w:tbl>
      <w:tblPr>
        <w:tblStyle w:val="TableGrid"/>
        <w:tblW w:w="92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322"/>
      </w:tblGrid>
      <w:tr w:rsidR="00755F8E" w:rsidRPr="006A663E" w:rsidTr="0011302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55F8E" w:rsidRPr="006A663E" w:rsidRDefault="00755F8E" w:rsidP="0011302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8E" w:rsidRPr="006A663E" w:rsidRDefault="00755F8E" w:rsidP="00113025">
            <w:pPr>
              <w:spacing w:line="276" w:lineRule="auto"/>
              <w:ind w:right="-108"/>
              <w:jc w:val="center"/>
            </w:pPr>
            <w:r>
              <w:t>MTL1</w:t>
            </w:r>
            <w:r w:rsidRPr="006A663E">
              <w:t xml:space="preserve"> (</w:t>
            </w:r>
            <w:proofErr w:type="spellStart"/>
            <w:r w:rsidRPr="006A663E">
              <w:t>bp</w:t>
            </w:r>
            <w:proofErr w:type="spellEnd"/>
            <w:r w:rsidRPr="006A663E">
              <w:t>)</w:t>
            </w:r>
          </w:p>
          <w:p w:rsidR="00755F8E" w:rsidRPr="006A663E" w:rsidRDefault="00755F8E" w:rsidP="00113025">
            <w:pPr>
              <w:spacing w:line="276" w:lineRule="auto"/>
              <w:ind w:right="-108"/>
              <w:jc w:val="center"/>
            </w:pPr>
            <w:r w:rsidRPr="006A663E">
              <w:t>=</w:t>
            </w:r>
            <w:proofErr w:type="spellStart"/>
            <w:r w:rsidRPr="006A663E">
              <w:t>ΣNI</w:t>
            </w:r>
            <w:r w:rsidRPr="006A663E">
              <w:rPr>
                <w:vertAlign w:val="subscript"/>
              </w:rPr>
              <w:t>i</w:t>
            </w:r>
            <w:proofErr w:type="spellEnd"/>
            <w:r w:rsidRPr="006A663E">
              <w:t>/Σ(</w:t>
            </w:r>
            <w:proofErr w:type="spellStart"/>
            <w:r w:rsidRPr="006A663E">
              <w:t>NI</w:t>
            </w:r>
            <w:r w:rsidRPr="006A663E">
              <w:rPr>
                <w:vertAlign w:val="subscript"/>
              </w:rPr>
              <w:t>i</w:t>
            </w:r>
            <w:proofErr w:type="spellEnd"/>
            <w:r w:rsidRPr="006A663E">
              <w:t>/</w:t>
            </w:r>
            <w:proofErr w:type="spellStart"/>
            <w:r w:rsidRPr="006A663E">
              <w:t>MW</w:t>
            </w:r>
            <w:r w:rsidRPr="006A663E">
              <w:rPr>
                <w:vertAlign w:val="subscript"/>
              </w:rPr>
              <w:t>i</w:t>
            </w:r>
            <w:proofErr w:type="spellEnd"/>
            <w:r w:rsidRPr="006A663E">
              <w:t>)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8E" w:rsidRPr="006A663E" w:rsidRDefault="00755F8E" w:rsidP="00113025">
            <w:pPr>
              <w:spacing w:line="276" w:lineRule="auto"/>
              <w:jc w:val="center"/>
            </w:pPr>
            <w:r>
              <w:t>MTL2</w:t>
            </w:r>
            <w:r w:rsidRPr="006A663E">
              <w:t xml:space="preserve"> (</w:t>
            </w:r>
            <w:proofErr w:type="spellStart"/>
            <w:r w:rsidRPr="006A663E">
              <w:t>bp</w:t>
            </w:r>
            <w:proofErr w:type="spellEnd"/>
            <w:r w:rsidRPr="006A663E">
              <w:t>)</w:t>
            </w:r>
          </w:p>
          <w:p w:rsidR="00755F8E" w:rsidRPr="006A663E" w:rsidRDefault="00755F8E" w:rsidP="00113025">
            <w:pPr>
              <w:spacing w:line="276" w:lineRule="auto"/>
              <w:jc w:val="center"/>
            </w:pPr>
            <w:r w:rsidRPr="006A663E">
              <w:t>=Σ(</w:t>
            </w:r>
            <w:proofErr w:type="spellStart"/>
            <w:r w:rsidRPr="006A663E">
              <w:t>NI</w:t>
            </w:r>
            <w:r w:rsidRPr="006A663E">
              <w:rPr>
                <w:vertAlign w:val="subscript"/>
              </w:rPr>
              <w:t>i</w:t>
            </w:r>
            <w:r w:rsidRPr="006A663E">
              <w:t>xMW</w:t>
            </w:r>
            <w:r w:rsidRPr="006A663E">
              <w:rPr>
                <w:vertAlign w:val="subscript"/>
              </w:rPr>
              <w:t>i</w:t>
            </w:r>
            <w:proofErr w:type="spellEnd"/>
            <w:r w:rsidRPr="006A663E">
              <w:t>)/</w:t>
            </w:r>
            <w:proofErr w:type="spellStart"/>
            <w:r w:rsidRPr="006A663E">
              <w:t>ΣNI</w:t>
            </w:r>
            <w:r w:rsidRPr="006A663E">
              <w:rPr>
                <w:vertAlign w:val="subscript"/>
              </w:rPr>
              <w:t>i</w:t>
            </w:r>
            <w:proofErr w:type="spellEnd"/>
          </w:p>
        </w:tc>
      </w:tr>
      <w:tr w:rsidR="00755F8E" w:rsidRPr="006A663E" w:rsidTr="00113025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755F8E" w:rsidRPr="006A663E" w:rsidRDefault="00755F8E" w:rsidP="00113025"/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55F8E" w:rsidRPr="006A663E" w:rsidRDefault="00755F8E" w:rsidP="00113025"/>
        </w:tc>
        <w:tc>
          <w:tcPr>
            <w:tcW w:w="3322" w:type="dxa"/>
            <w:tcBorders>
              <w:top w:val="single" w:sz="4" w:space="0" w:color="auto"/>
              <w:bottom w:val="nil"/>
            </w:tcBorders>
          </w:tcPr>
          <w:p w:rsidR="00755F8E" w:rsidRPr="006A663E" w:rsidRDefault="00755F8E" w:rsidP="00113025"/>
        </w:tc>
      </w:tr>
      <w:tr w:rsidR="00755F8E" w:rsidRPr="006A663E" w:rsidTr="00113025">
        <w:tc>
          <w:tcPr>
            <w:tcW w:w="2660" w:type="dxa"/>
            <w:tcBorders>
              <w:top w:val="nil"/>
            </w:tcBorders>
          </w:tcPr>
          <w:p w:rsidR="00755F8E" w:rsidRPr="006A663E" w:rsidRDefault="00755F8E" w:rsidP="00755F8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6A663E">
              <w:t>Our method</w:t>
            </w:r>
          </w:p>
        </w:tc>
        <w:tc>
          <w:tcPr>
            <w:tcW w:w="3260" w:type="dxa"/>
            <w:tcBorders>
              <w:top w:val="nil"/>
            </w:tcBorders>
          </w:tcPr>
          <w:p w:rsidR="00755F8E" w:rsidRPr="006A663E" w:rsidRDefault="00755F8E" w:rsidP="00113025"/>
        </w:tc>
        <w:tc>
          <w:tcPr>
            <w:tcW w:w="3322" w:type="dxa"/>
            <w:tcBorders>
              <w:top w:val="nil"/>
            </w:tcBorders>
          </w:tcPr>
          <w:p w:rsidR="00755F8E" w:rsidRPr="006A663E" w:rsidRDefault="00755F8E" w:rsidP="00113025"/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4419 ± 516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6369 ± 1257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4452 ± 573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6349 ± 1373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4435 ± 531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6330 ± 1144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4563 ± 645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6236 ± 1271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Default="00755F8E" w:rsidP="00113025">
            <w:pPr>
              <w:ind w:left="709"/>
            </w:pPr>
          </w:p>
          <w:p w:rsidR="00755F8E" w:rsidRDefault="00755F8E" w:rsidP="00113025">
            <w:pPr>
              <w:ind w:left="709"/>
            </w:pPr>
            <w:r w:rsidRPr="006A663E">
              <w:t>%CV</w:t>
            </w:r>
          </w:p>
          <w:p w:rsidR="00755F8E" w:rsidRPr="006A663E" w:rsidRDefault="00755F8E" w:rsidP="00113025">
            <w:pPr>
              <w:ind w:left="709"/>
            </w:pPr>
          </w:p>
        </w:tc>
        <w:tc>
          <w:tcPr>
            <w:tcW w:w="3260" w:type="dxa"/>
          </w:tcPr>
          <w:p w:rsidR="00755F8E" w:rsidRDefault="00755F8E" w:rsidP="00113025">
            <w:pPr>
              <w:jc w:val="center"/>
            </w:pPr>
          </w:p>
          <w:p w:rsidR="00755F8E" w:rsidRPr="006A663E" w:rsidRDefault="00755F8E" w:rsidP="00113025">
            <w:pPr>
              <w:jc w:val="center"/>
            </w:pPr>
            <w:r w:rsidRPr="006A663E">
              <w:t>1.46%</w:t>
            </w:r>
          </w:p>
        </w:tc>
        <w:tc>
          <w:tcPr>
            <w:tcW w:w="3322" w:type="dxa"/>
          </w:tcPr>
          <w:p w:rsidR="00755F8E" w:rsidRDefault="00755F8E" w:rsidP="00113025">
            <w:pPr>
              <w:jc w:val="center"/>
            </w:pPr>
          </w:p>
          <w:p w:rsidR="00755F8E" w:rsidRPr="006A663E" w:rsidRDefault="00755F8E" w:rsidP="00113025">
            <w:pPr>
              <w:jc w:val="center"/>
            </w:pPr>
            <w:r w:rsidRPr="006A663E">
              <w:t>0.93%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755F8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6A663E">
              <w:t>Jenkins et al,2017</w:t>
            </w:r>
          </w:p>
        </w:tc>
        <w:tc>
          <w:tcPr>
            <w:tcW w:w="3260" w:type="dxa"/>
          </w:tcPr>
          <w:p w:rsidR="00755F8E" w:rsidRPr="006A663E" w:rsidRDefault="00755F8E" w:rsidP="00113025">
            <w:pPr>
              <w:jc w:val="center"/>
            </w:pPr>
          </w:p>
        </w:tc>
        <w:tc>
          <w:tcPr>
            <w:tcW w:w="3322" w:type="dxa"/>
          </w:tcPr>
          <w:p w:rsidR="00755F8E" w:rsidRPr="006A663E" w:rsidRDefault="00755F8E" w:rsidP="00113025">
            <w:pPr>
              <w:jc w:val="center"/>
            </w:pP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4995 ± 1027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6298 ± 1593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5006 ± 1033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6396 ± 1651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4984 ± 1013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6357 ± 1605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4970 ± 1033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6319 ± 1596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Default="00755F8E" w:rsidP="00113025">
            <w:pPr>
              <w:ind w:left="709"/>
            </w:pPr>
          </w:p>
          <w:p w:rsidR="00755F8E" w:rsidRDefault="00755F8E" w:rsidP="00113025">
            <w:pPr>
              <w:ind w:left="709"/>
            </w:pPr>
            <w:r w:rsidRPr="006A663E">
              <w:t>%CV</w:t>
            </w:r>
          </w:p>
          <w:p w:rsidR="00755F8E" w:rsidRPr="006A663E" w:rsidRDefault="00755F8E" w:rsidP="00113025">
            <w:pPr>
              <w:ind w:left="709"/>
            </w:pPr>
          </w:p>
        </w:tc>
        <w:tc>
          <w:tcPr>
            <w:tcW w:w="3260" w:type="dxa"/>
          </w:tcPr>
          <w:p w:rsidR="00755F8E" w:rsidRDefault="00755F8E" w:rsidP="00113025">
            <w:pPr>
              <w:jc w:val="center"/>
            </w:pPr>
          </w:p>
          <w:p w:rsidR="00755F8E" w:rsidRPr="006A663E" w:rsidRDefault="00755F8E" w:rsidP="00113025">
            <w:pPr>
              <w:jc w:val="center"/>
            </w:pPr>
            <w:r w:rsidRPr="006A663E">
              <w:t>0.31%</w:t>
            </w:r>
          </w:p>
        </w:tc>
        <w:tc>
          <w:tcPr>
            <w:tcW w:w="3322" w:type="dxa"/>
          </w:tcPr>
          <w:p w:rsidR="00755F8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</w:p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0.68%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755F8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6A663E">
              <w:t>Mender &amp; Shay, 2015</w:t>
            </w:r>
          </w:p>
        </w:tc>
        <w:tc>
          <w:tcPr>
            <w:tcW w:w="3260" w:type="dxa"/>
          </w:tcPr>
          <w:p w:rsidR="00755F8E" w:rsidRPr="006A663E" w:rsidRDefault="00755F8E" w:rsidP="00113025">
            <w:pPr>
              <w:jc w:val="center"/>
            </w:pPr>
          </w:p>
        </w:tc>
        <w:tc>
          <w:tcPr>
            <w:tcW w:w="3322" w:type="dxa"/>
          </w:tcPr>
          <w:p w:rsidR="00755F8E" w:rsidRPr="006A663E" w:rsidRDefault="00755F8E" w:rsidP="00113025">
            <w:pPr>
              <w:jc w:val="center"/>
            </w:pP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3966 ± 541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9960 ± 2456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4060 ± 568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9939 ± 3467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3952 ± 712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10653  ± 3037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4049 ± 631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10249  ± 2109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Default="00755F8E" w:rsidP="00113025">
            <w:pPr>
              <w:ind w:left="709"/>
            </w:pPr>
          </w:p>
          <w:p w:rsidR="00755F8E" w:rsidRDefault="00755F8E" w:rsidP="00113025">
            <w:pPr>
              <w:ind w:left="709"/>
            </w:pPr>
            <w:r w:rsidRPr="006A663E">
              <w:t>%CV</w:t>
            </w:r>
          </w:p>
          <w:p w:rsidR="00755F8E" w:rsidRPr="006A663E" w:rsidRDefault="00755F8E" w:rsidP="00113025">
            <w:pPr>
              <w:ind w:left="709"/>
            </w:pPr>
          </w:p>
        </w:tc>
        <w:tc>
          <w:tcPr>
            <w:tcW w:w="3260" w:type="dxa"/>
          </w:tcPr>
          <w:p w:rsidR="00755F8E" w:rsidRDefault="00755F8E" w:rsidP="00113025">
            <w:pPr>
              <w:jc w:val="center"/>
            </w:pPr>
          </w:p>
          <w:p w:rsidR="00755F8E" w:rsidRPr="006A663E" w:rsidRDefault="00755F8E" w:rsidP="00113025">
            <w:pPr>
              <w:jc w:val="center"/>
            </w:pPr>
            <w:r w:rsidRPr="006A663E">
              <w:t>1.39%</w:t>
            </w:r>
          </w:p>
        </w:tc>
        <w:tc>
          <w:tcPr>
            <w:tcW w:w="3322" w:type="dxa"/>
          </w:tcPr>
          <w:p w:rsidR="00755F8E" w:rsidRDefault="00755F8E" w:rsidP="00113025">
            <w:pPr>
              <w:jc w:val="center"/>
            </w:pPr>
          </w:p>
          <w:p w:rsidR="00755F8E" w:rsidRPr="006A663E" w:rsidRDefault="00755F8E" w:rsidP="00113025">
            <w:pPr>
              <w:jc w:val="center"/>
            </w:pPr>
            <w:r w:rsidRPr="006A663E">
              <w:t>3.30%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755F8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6A663E">
              <w:t>Kimura et al  2010</w:t>
            </w:r>
          </w:p>
        </w:tc>
        <w:tc>
          <w:tcPr>
            <w:tcW w:w="3260" w:type="dxa"/>
          </w:tcPr>
          <w:p w:rsidR="00755F8E" w:rsidRPr="006A663E" w:rsidRDefault="00755F8E" w:rsidP="00113025">
            <w:pPr>
              <w:jc w:val="center"/>
            </w:pPr>
          </w:p>
        </w:tc>
        <w:tc>
          <w:tcPr>
            <w:tcW w:w="3322" w:type="dxa"/>
          </w:tcPr>
          <w:p w:rsidR="00755F8E" w:rsidRPr="006A663E" w:rsidRDefault="00755F8E" w:rsidP="00113025">
            <w:pPr>
              <w:jc w:val="center"/>
            </w:pP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3640 ± 614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5606  ± 1125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1.5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3666 ± 589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5758  ± 1111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2.0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3612 ± 559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5749 ± 978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Pr="006A663E" w:rsidRDefault="00755F8E" w:rsidP="00113025">
            <w:pPr>
              <w:ind w:left="709"/>
            </w:pPr>
            <w:r w:rsidRPr="006A663E">
              <w:t xml:space="preserve">2.5 </w:t>
            </w:r>
            <w:proofErr w:type="spellStart"/>
            <w:r w:rsidRPr="006A663E">
              <w:t>ug</w:t>
            </w:r>
            <w:proofErr w:type="spellEnd"/>
          </w:p>
        </w:tc>
        <w:tc>
          <w:tcPr>
            <w:tcW w:w="3260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3627 ± 581</w:t>
            </w:r>
          </w:p>
        </w:tc>
        <w:tc>
          <w:tcPr>
            <w:tcW w:w="3322" w:type="dxa"/>
            <w:vAlign w:val="bottom"/>
          </w:tcPr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5719 ± 947</w:t>
            </w:r>
          </w:p>
        </w:tc>
      </w:tr>
      <w:tr w:rsidR="00755F8E" w:rsidRPr="006A663E" w:rsidTr="00113025">
        <w:tc>
          <w:tcPr>
            <w:tcW w:w="2660" w:type="dxa"/>
          </w:tcPr>
          <w:p w:rsidR="00755F8E" w:rsidRDefault="00755F8E" w:rsidP="00113025">
            <w:pPr>
              <w:ind w:left="709"/>
            </w:pPr>
          </w:p>
          <w:p w:rsidR="00755F8E" w:rsidRDefault="00755F8E" w:rsidP="00113025">
            <w:pPr>
              <w:ind w:left="709"/>
            </w:pPr>
            <w:r w:rsidRPr="006A663E">
              <w:t>%CV</w:t>
            </w:r>
          </w:p>
          <w:p w:rsidR="00755F8E" w:rsidRPr="006A663E" w:rsidRDefault="00755F8E" w:rsidP="00113025">
            <w:pPr>
              <w:ind w:left="709"/>
            </w:pPr>
          </w:p>
        </w:tc>
        <w:tc>
          <w:tcPr>
            <w:tcW w:w="3260" w:type="dxa"/>
          </w:tcPr>
          <w:p w:rsidR="00755F8E" w:rsidRDefault="00755F8E" w:rsidP="00113025">
            <w:pPr>
              <w:jc w:val="center"/>
            </w:pPr>
          </w:p>
          <w:p w:rsidR="00755F8E" w:rsidRPr="006A663E" w:rsidRDefault="00755F8E" w:rsidP="00113025">
            <w:pPr>
              <w:jc w:val="center"/>
            </w:pPr>
            <w:r w:rsidRPr="006A663E">
              <w:t>0.63%</w:t>
            </w:r>
          </w:p>
        </w:tc>
        <w:tc>
          <w:tcPr>
            <w:tcW w:w="3322" w:type="dxa"/>
          </w:tcPr>
          <w:p w:rsidR="00755F8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</w:p>
          <w:p w:rsidR="00755F8E" w:rsidRPr="006A663E" w:rsidRDefault="00755F8E" w:rsidP="00113025">
            <w:pPr>
              <w:jc w:val="center"/>
              <w:rPr>
                <w:rFonts w:ascii="Calibri" w:hAnsi="Calibri"/>
                <w:color w:val="000000"/>
              </w:rPr>
            </w:pPr>
            <w:r w:rsidRPr="006A663E">
              <w:rPr>
                <w:rFonts w:ascii="Calibri" w:hAnsi="Calibri"/>
                <w:color w:val="000000"/>
              </w:rPr>
              <w:t>1.22%</w:t>
            </w:r>
          </w:p>
        </w:tc>
      </w:tr>
    </w:tbl>
    <w:p w:rsidR="00090192" w:rsidRPr="00FD18B7" w:rsidRDefault="00090192" w:rsidP="00090192">
      <w:r>
        <w:rPr>
          <w:rFonts w:ascii="Arial" w:hAnsi="Arial" w:cs="Arial"/>
          <w:color w:val="000000"/>
          <w:sz w:val="20"/>
          <w:szCs w:val="20"/>
        </w:rPr>
        <w:t xml:space="preserve">MTL=mean telomere length,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=base pairs, NI=net intensity, MW=molecular weight</w:t>
      </w:r>
      <w:r w:rsidR="00845FCE">
        <w:rPr>
          <w:rFonts w:ascii="Arial" w:hAnsi="Arial" w:cs="Arial"/>
          <w:color w:val="000000"/>
          <w:sz w:val="20"/>
          <w:szCs w:val="20"/>
        </w:rPr>
        <w:t>, CV=</w:t>
      </w:r>
      <w:r w:rsidR="00845FCE">
        <w:t>coefficient of variance.</w:t>
      </w:r>
    </w:p>
    <w:p w:rsidR="00755F8E" w:rsidRDefault="00755F8E" w:rsidP="00755F8E">
      <w:pPr>
        <w:rPr>
          <w:b/>
        </w:rPr>
      </w:pPr>
    </w:p>
    <w:p w:rsidR="008B576A" w:rsidRDefault="008B576A"/>
    <w:sectPr w:rsidR="008B5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09"/>
    <w:multiLevelType w:val="hybridMultilevel"/>
    <w:tmpl w:val="E242A390"/>
    <w:lvl w:ilvl="0" w:tplc="BBCE6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8E"/>
    <w:rsid w:val="00090192"/>
    <w:rsid w:val="001B5AD1"/>
    <w:rsid w:val="00755F8E"/>
    <w:rsid w:val="007823CC"/>
    <w:rsid w:val="00845FCE"/>
    <w:rsid w:val="008B576A"/>
    <w:rsid w:val="009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Mater Newcastle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Lincz, Lisa</dc:creator>
  <cp:lastModifiedBy>Lincz, Lisa</cp:lastModifiedBy>
  <cp:revision>2</cp:revision>
  <dcterms:created xsi:type="dcterms:W3CDTF">2019-09-19T23:59:00Z</dcterms:created>
  <dcterms:modified xsi:type="dcterms:W3CDTF">2019-09-19T23:59:00Z</dcterms:modified>
</cp:coreProperties>
</file>