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2F33F" w14:textId="77777777" w:rsidR="007C6EEC" w:rsidRPr="004158B6" w:rsidRDefault="007C6EEC" w:rsidP="007C6EEC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7C6EEC">
        <w:rPr>
          <w:rFonts w:ascii="Times New Roman" w:eastAsia="Times New Roman" w:hAnsi="Times New Roman" w:cs="Times New Roman"/>
          <w:b/>
          <w:sz w:val="20"/>
          <w:szCs w:val="20"/>
        </w:rPr>
        <w:t>Table S12</w:t>
      </w:r>
      <w:r w:rsidRPr="004158B6">
        <w:rPr>
          <w:rFonts w:ascii="Times New Roman" w:eastAsia="Times New Roman" w:hAnsi="Times New Roman" w:cs="Times New Roman"/>
          <w:bCs/>
          <w:sz w:val="20"/>
          <w:szCs w:val="20"/>
        </w:rPr>
        <w:t xml:space="preserve"> Long-term stability study of prepared hydrogels under refrigerated conditions (5 ± 3°C)</w:t>
      </w:r>
    </w:p>
    <w:p w14:paraId="166A8451" w14:textId="77777777" w:rsidR="007C6EEC" w:rsidRPr="004158B6" w:rsidRDefault="007C6EEC" w:rsidP="007C6EEC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Style w:val="TableGrid"/>
        <w:tblW w:w="8790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4"/>
        <w:gridCol w:w="907"/>
        <w:gridCol w:w="907"/>
        <w:gridCol w:w="907"/>
        <w:gridCol w:w="1013"/>
        <w:gridCol w:w="907"/>
        <w:gridCol w:w="907"/>
        <w:gridCol w:w="907"/>
        <w:gridCol w:w="911"/>
      </w:tblGrid>
      <w:tr w:rsidR="007C6EEC" w:rsidRPr="007C6EEC" w14:paraId="2FC08680" w14:textId="77777777" w:rsidTr="0042247B">
        <w:trPr>
          <w:trHeight w:val="213"/>
        </w:trPr>
        <w:tc>
          <w:tcPr>
            <w:tcW w:w="1424" w:type="dxa"/>
            <w:tcBorders>
              <w:top w:val="single" w:sz="4" w:space="0" w:color="auto"/>
              <w:bottom w:val="single" w:sz="4" w:space="0" w:color="auto"/>
            </w:tcBorders>
          </w:tcPr>
          <w:p w14:paraId="0F62D565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eastAsia="GulliverRM" w:hAnsi="Times New Roman" w:cs="Times New Roman"/>
                <w:b w:val="0"/>
                <w:sz w:val="20"/>
                <w:szCs w:val="20"/>
                <w:lang w:val="en-IN" w:bidi="or-IN"/>
              </w:rPr>
            </w:pPr>
            <w:r w:rsidRPr="007C6EEC">
              <w:rPr>
                <w:rFonts w:ascii="Times New Roman" w:eastAsia="Times New Roman" w:hAnsi="Times New Roman" w:cs="Times New Roman"/>
                <w:sz w:val="20"/>
                <w:szCs w:val="20"/>
              </w:rPr>
              <w:t>Formulations</w:t>
            </w:r>
          </w:p>
        </w:tc>
        <w:tc>
          <w:tcPr>
            <w:tcW w:w="373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DA13F7C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7C6EEC">
              <w:rPr>
                <w:rFonts w:ascii="Times New Roman" w:hAnsi="Times New Roman" w:cs="Times New Roman"/>
                <w:noProof/>
                <w:sz w:val="20"/>
                <w:szCs w:val="20"/>
              </w:rPr>
              <w:t>TFG F2</w:t>
            </w:r>
          </w:p>
        </w:tc>
        <w:tc>
          <w:tcPr>
            <w:tcW w:w="363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E0D4FF1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7C6EEC">
              <w:rPr>
                <w:rFonts w:ascii="Times New Roman" w:hAnsi="Times New Roman" w:cs="Times New Roman"/>
                <w:noProof/>
                <w:sz w:val="20"/>
                <w:szCs w:val="20"/>
              </w:rPr>
              <w:t>Plain Gel</w:t>
            </w:r>
          </w:p>
        </w:tc>
      </w:tr>
      <w:tr w:rsidR="007C6EEC" w:rsidRPr="007C6EEC" w14:paraId="22B28FEA" w14:textId="77777777" w:rsidTr="0042247B">
        <w:trPr>
          <w:trHeight w:val="213"/>
        </w:trPr>
        <w:tc>
          <w:tcPr>
            <w:tcW w:w="1424" w:type="dxa"/>
            <w:tcBorders>
              <w:top w:val="single" w:sz="4" w:space="0" w:color="auto"/>
              <w:bottom w:val="single" w:sz="4" w:space="0" w:color="auto"/>
            </w:tcBorders>
          </w:tcPr>
          <w:p w14:paraId="07F4ADF3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14:paraId="50C207C3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7C6EEC">
              <w:rPr>
                <w:rFonts w:ascii="Times New Roman" w:hAnsi="Times New Roman" w:cs="Times New Roman"/>
                <w:noProof/>
                <w:sz w:val="20"/>
                <w:szCs w:val="20"/>
              </w:rPr>
              <w:t>0 month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14:paraId="3EB09E6E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7C6EEC">
              <w:rPr>
                <w:rFonts w:ascii="Times New Roman" w:hAnsi="Times New Roman" w:cs="Times New Roman"/>
                <w:noProof/>
                <w:sz w:val="20"/>
                <w:szCs w:val="20"/>
              </w:rPr>
              <w:t>6 months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14:paraId="18BAAC98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7C6EEC">
              <w:rPr>
                <w:rFonts w:ascii="Times New Roman" w:hAnsi="Times New Roman" w:cs="Times New Roman"/>
                <w:noProof/>
                <w:sz w:val="20"/>
                <w:szCs w:val="20"/>
              </w:rPr>
              <w:t>9 months</w:t>
            </w:r>
          </w:p>
        </w:tc>
        <w:tc>
          <w:tcPr>
            <w:tcW w:w="1013" w:type="dxa"/>
            <w:tcBorders>
              <w:top w:val="single" w:sz="4" w:space="0" w:color="auto"/>
              <w:bottom w:val="single" w:sz="4" w:space="0" w:color="auto"/>
            </w:tcBorders>
          </w:tcPr>
          <w:p w14:paraId="4C7BF366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7C6EEC">
              <w:rPr>
                <w:rFonts w:ascii="Times New Roman" w:hAnsi="Times New Roman" w:cs="Times New Roman"/>
                <w:noProof/>
                <w:sz w:val="20"/>
                <w:szCs w:val="20"/>
              </w:rPr>
              <w:t>12 months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14:paraId="4A356207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7C6EEC">
              <w:rPr>
                <w:rFonts w:ascii="Times New Roman" w:hAnsi="Times New Roman" w:cs="Times New Roman"/>
                <w:noProof/>
                <w:sz w:val="20"/>
                <w:szCs w:val="20"/>
              </w:rPr>
              <w:t>0 month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14:paraId="7CFE7570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7C6EEC">
              <w:rPr>
                <w:rFonts w:ascii="Times New Roman" w:hAnsi="Times New Roman" w:cs="Times New Roman"/>
                <w:noProof/>
                <w:sz w:val="20"/>
                <w:szCs w:val="20"/>
              </w:rPr>
              <w:t>3 months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14:paraId="48EC5428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7C6EEC">
              <w:rPr>
                <w:rFonts w:ascii="Times New Roman" w:hAnsi="Times New Roman" w:cs="Times New Roman"/>
                <w:noProof/>
                <w:sz w:val="20"/>
                <w:szCs w:val="20"/>
              </w:rPr>
              <w:t>6 months</w:t>
            </w:r>
          </w:p>
        </w:tc>
        <w:tc>
          <w:tcPr>
            <w:tcW w:w="911" w:type="dxa"/>
            <w:tcBorders>
              <w:top w:val="single" w:sz="4" w:space="0" w:color="auto"/>
              <w:bottom w:val="single" w:sz="4" w:space="0" w:color="auto"/>
            </w:tcBorders>
          </w:tcPr>
          <w:p w14:paraId="2D654FC9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7C6EEC">
              <w:rPr>
                <w:rFonts w:ascii="Times New Roman" w:hAnsi="Times New Roman" w:cs="Times New Roman"/>
                <w:noProof/>
                <w:sz w:val="20"/>
                <w:szCs w:val="20"/>
              </w:rPr>
              <w:t>12 months</w:t>
            </w:r>
          </w:p>
        </w:tc>
      </w:tr>
      <w:tr w:rsidR="007C6EEC" w:rsidRPr="007C6EEC" w14:paraId="387E54AC" w14:textId="77777777" w:rsidTr="0042247B">
        <w:trPr>
          <w:trHeight w:val="173"/>
        </w:trPr>
        <w:tc>
          <w:tcPr>
            <w:tcW w:w="1424" w:type="dxa"/>
            <w:tcBorders>
              <w:top w:val="single" w:sz="4" w:space="0" w:color="auto"/>
            </w:tcBorders>
          </w:tcPr>
          <w:p w14:paraId="3747B8D5" w14:textId="77777777" w:rsidR="007C6EEC" w:rsidRPr="004D3B53" w:rsidRDefault="007C6EEC" w:rsidP="0042247B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bidi="or-IN"/>
              </w:rPr>
            </w:pPr>
            <w:r w:rsidRPr="004D3B53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bidi="or-IN"/>
              </w:rPr>
              <w:t>Appearance</w:t>
            </w:r>
          </w:p>
        </w:tc>
        <w:tc>
          <w:tcPr>
            <w:tcW w:w="3734" w:type="dxa"/>
            <w:gridSpan w:val="4"/>
            <w:tcBorders>
              <w:top w:val="single" w:sz="4" w:space="0" w:color="auto"/>
            </w:tcBorders>
          </w:tcPr>
          <w:p w14:paraId="558A9F64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White color</w:t>
            </w:r>
          </w:p>
        </w:tc>
        <w:tc>
          <w:tcPr>
            <w:tcW w:w="3632" w:type="dxa"/>
            <w:gridSpan w:val="4"/>
            <w:tcBorders>
              <w:top w:val="single" w:sz="4" w:space="0" w:color="auto"/>
            </w:tcBorders>
          </w:tcPr>
          <w:p w14:paraId="42119B44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Pale yellow  </w:t>
            </w:r>
          </w:p>
        </w:tc>
      </w:tr>
      <w:tr w:rsidR="007C6EEC" w:rsidRPr="007C6EEC" w14:paraId="658BA744" w14:textId="77777777" w:rsidTr="0042247B">
        <w:trPr>
          <w:trHeight w:val="173"/>
        </w:trPr>
        <w:tc>
          <w:tcPr>
            <w:tcW w:w="1424" w:type="dxa"/>
          </w:tcPr>
          <w:p w14:paraId="61832393" w14:textId="77777777" w:rsidR="007C6EEC" w:rsidRPr="004D3B53" w:rsidRDefault="007C6EEC" w:rsidP="0042247B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bidi="or-IN"/>
              </w:rPr>
            </w:pPr>
            <w:r w:rsidRPr="004D3B53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bidi="or-IN"/>
              </w:rPr>
              <w:t>Consistency and homogeneity</w:t>
            </w:r>
          </w:p>
        </w:tc>
        <w:tc>
          <w:tcPr>
            <w:tcW w:w="3734" w:type="dxa"/>
            <w:gridSpan w:val="4"/>
          </w:tcPr>
          <w:p w14:paraId="7EF8971D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Gel-like consistency with smooth and homogeneous properties</w:t>
            </w:r>
          </w:p>
        </w:tc>
        <w:tc>
          <w:tcPr>
            <w:tcW w:w="3632" w:type="dxa"/>
            <w:gridSpan w:val="4"/>
          </w:tcPr>
          <w:p w14:paraId="21CA3623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Gel-like consistency with smooth and homogeneous properties</w:t>
            </w:r>
          </w:p>
        </w:tc>
      </w:tr>
      <w:tr w:rsidR="007C6EEC" w:rsidRPr="007C6EEC" w14:paraId="19A3AAF5" w14:textId="77777777" w:rsidTr="0042247B">
        <w:trPr>
          <w:trHeight w:val="223"/>
        </w:trPr>
        <w:tc>
          <w:tcPr>
            <w:tcW w:w="1424" w:type="dxa"/>
          </w:tcPr>
          <w:p w14:paraId="399CD1A4" w14:textId="77777777" w:rsidR="007C6EEC" w:rsidRPr="004D3B53" w:rsidRDefault="007C6EEC" w:rsidP="0042247B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bidi="or-IN"/>
              </w:rPr>
            </w:pPr>
            <w:proofErr w:type="spellStart"/>
            <w:r w:rsidRPr="004D3B53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  <w:t>Spreadability</w:t>
            </w:r>
            <w:proofErr w:type="spellEnd"/>
            <w:r w:rsidRPr="004D3B53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  <w:t xml:space="preserve"> (cm)</w:t>
            </w:r>
          </w:p>
        </w:tc>
        <w:tc>
          <w:tcPr>
            <w:tcW w:w="907" w:type="dxa"/>
            <w:vAlign w:val="bottom"/>
          </w:tcPr>
          <w:p w14:paraId="502356AC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80" w:after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5.034 ± 0.048</w:t>
            </w:r>
          </w:p>
        </w:tc>
        <w:tc>
          <w:tcPr>
            <w:tcW w:w="907" w:type="dxa"/>
          </w:tcPr>
          <w:p w14:paraId="76C0D302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5.012 </w:t>
            </w:r>
            <w:r w:rsidRPr="007C6EEC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0.014</w:t>
            </w:r>
          </w:p>
        </w:tc>
        <w:tc>
          <w:tcPr>
            <w:tcW w:w="907" w:type="dxa"/>
          </w:tcPr>
          <w:p w14:paraId="5E6BDB5A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4.998 </w:t>
            </w:r>
            <w:r w:rsidRPr="007C6EEC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0.079</w:t>
            </w:r>
          </w:p>
        </w:tc>
        <w:tc>
          <w:tcPr>
            <w:tcW w:w="1013" w:type="dxa"/>
          </w:tcPr>
          <w:p w14:paraId="6ACAEDA0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4.986 </w:t>
            </w:r>
            <w:r w:rsidRPr="007C6EEC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0.035</w:t>
            </w:r>
            <w:r w:rsidRPr="007C6EE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907" w:type="dxa"/>
          </w:tcPr>
          <w:p w14:paraId="060AFC7A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5.23 </w:t>
            </w:r>
            <w:r w:rsidRPr="007C6EEC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0.089</w:t>
            </w:r>
          </w:p>
        </w:tc>
        <w:tc>
          <w:tcPr>
            <w:tcW w:w="907" w:type="dxa"/>
          </w:tcPr>
          <w:p w14:paraId="6E8496C7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5.211 </w:t>
            </w:r>
            <w:r w:rsidRPr="007C6EEC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0.057</w:t>
            </w:r>
          </w:p>
        </w:tc>
        <w:tc>
          <w:tcPr>
            <w:tcW w:w="907" w:type="dxa"/>
          </w:tcPr>
          <w:p w14:paraId="6F9954EA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5.167 </w:t>
            </w:r>
            <w:r w:rsidRPr="007C6EEC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0.037</w:t>
            </w:r>
          </w:p>
        </w:tc>
        <w:tc>
          <w:tcPr>
            <w:tcW w:w="911" w:type="dxa"/>
          </w:tcPr>
          <w:p w14:paraId="685B8253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5.087 </w:t>
            </w:r>
            <w:r w:rsidRPr="007C6EEC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0.033</w:t>
            </w:r>
          </w:p>
        </w:tc>
      </w:tr>
      <w:tr w:rsidR="007C6EEC" w:rsidRPr="007C6EEC" w14:paraId="771FF643" w14:textId="77777777" w:rsidTr="0042247B">
        <w:trPr>
          <w:trHeight w:val="223"/>
        </w:trPr>
        <w:tc>
          <w:tcPr>
            <w:tcW w:w="1424" w:type="dxa"/>
          </w:tcPr>
          <w:p w14:paraId="36E235B2" w14:textId="77777777" w:rsidR="007C6EEC" w:rsidRPr="004D3B53" w:rsidRDefault="007C6EEC" w:rsidP="0042247B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bidi="or-IN"/>
              </w:rPr>
            </w:pPr>
            <w:r w:rsidRPr="004D3B53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bidi="or-IN"/>
              </w:rPr>
              <w:t>Extrudability (g)</w:t>
            </w:r>
          </w:p>
        </w:tc>
        <w:tc>
          <w:tcPr>
            <w:tcW w:w="907" w:type="dxa"/>
            <w:vAlign w:val="bottom"/>
          </w:tcPr>
          <w:p w14:paraId="1F32CC73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80" w:after="0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154.372 ± 1.428</w:t>
            </w:r>
          </w:p>
        </w:tc>
        <w:tc>
          <w:tcPr>
            <w:tcW w:w="907" w:type="dxa"/>
          </w:tcPr>
          <w:p w14:paraId="7ADA28FF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153.751 </w:t>
            </w:r>
            <w:r w:rsidRPr="007C6EEC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1.547</w:t>
            </w:r>
          </w:p>
        </w:tc>
        <w:tc>
          <w:tcPr>
            <w:tcW w:w="907" w:type="dxa"/>
          </w:tcPr>
          <w:p w14:paraId="1E63BAF2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155.368 </w:t>
            </w:r>
            <w:r w:rsidRPr="007C6EEC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1.764</w:t>
            </w:r>
          </w:p>
        </w:tc>
        <w:tc>
          <w:tcPr>
            <w:tcW w:w="1013" w:type="dxa"/>
          </w:tcPr>
          <w:p w14:paraId="73079693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157.2 </w:t>
            </w:r>
            <w:r w:rsidRPr="007C6EEC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1.258</w:t>
            </w:r>
          </w:p>
        </w:tc>
        <w:tc>
          <w:tcPr>
            <w:tcW w:w="907" w:type="dxa"/>
          </w:tcPr>
          <w:p w14:paraId="05287C3E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146.125 </w:t>
            </w:r>
            <w:r w:rsidRPr="007C6EEC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2.147</w:t>
            </w:r>
          </w:p>
        </w:tc>
        <w:tc>
          <w:tcPr>
            <w:tcW w:w="907" w:type="dxa"/>
          </w:tcPr>
          <w:p w14:paraId="7D330D4B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147.284 </w:t>
            </w:r>
            <w:r w:rsidRPr="007C6EEC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1.234</w:t>
            </w:r>
          </w:p>
        </w:tc>
        <w:tc>
          <w:tcPr>
            <w:tcW w:w="907" w:type="dxa"/>
          </w:tcPr>
          <w:p w14:paraId="2A91EDFC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147.873 </w:t>
            </w:r>
            <w:r w:rsidRPr="007C6EEC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1.354</w:t>
            </w:r>
          </w:p>
        </w:tc>
        <w:tc>
          <w:tcPr>
            <w:tcW w:w="911" w:type="dxa"/>
          </w:tcPr>
          <w:p w14:paraId="3B639A37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148.325 </w:t>
            </w:r>
            <w:r w:rsidRPr="007C6EEC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1.359</w:t>
            </w:r>
          </w:p>
        </w:tc>
      </w:tr>
      <w:tr w:rsidR="007C6EEC" w:rsidRPr="007C6EEC" w14:paraId="35CCCF2A" w14:textId="77777777" w:rsidTr="0042247B">
        <w:trPr>
          <w:trHeight w:val="173"/>
        </w:trPr>
        <w:tc>
          <w:tcPr>
            <w:tcW w:w="1424" w:type="dxa"/>
          </w:tcPr>
          <w:p w14:paraId="203750B8" w14:textId="77777777" w:rsidR="007C6EEC" w:rsidRPr="004D3B53" w:rsidRDefault="007C6EEC" w:rsidP="0042247B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bidi="or-IN"/>
              </w:rPr>
            </w:pPr>
            <w:r w:rsidRPr="004D3B53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  <w:t>pH</w:t>
            </w:r>
          </w:p>
        </w:tc>
        <w:tc>
          <w:tcPr>
            <w:tcW w:w="907" w:type="dxa"/>
          </w:tcPr>
          <w:p w14:paraId="0520575F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val="en-IN"/>
              </w:rPr>
              <w:t>6.736 ± 0.018</w:t>
            </w:r>
          </w:p>
        </w:tc>
        <w:tc>
          <w:tcPr>
            <w:tcW w:w="907" w:type="dxa"/>
          </w:tcPr>
          <w:p w14:paraId="44C497A6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6.657 </w:t>
            </w:r>
            <w:r w:rsidRPr="007C6EEC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0.038</w:t>
            </w:r>
          </w:p>
        </w:tc>
        <w:tc>
          <w:tcPr>
            <w:tcW w:w="907" w:type="dxa"/>
          </w:tcPr>
          <w:p w14:paraId="44FAA7BA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6.773 </w:t>
            </w:r>
            <w:r w:rsidRPr="007C6EEC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0.024</w:t>
            </w:r>
          </w:p>
        </w:tc>
        <w:tc>
          <w:tcPr>
            <w:tcW w:w="1013" w:type="dxa"/>
          </w:tcPr>
          <w:p w14:paraId="5F015E0A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6.623 </w:t>
            </w:r>
            <w:r w:rsidRPr="007C6EEC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0.014</w:t>
            </w:r>
          </w:p>
        </w:tc>
        <w:tc>
          <w:tcPr>
            <w:tcW w:w="907" w:type="dxa"/>
          </w:tcPr>
          <w:p w14:paraId="52818CCF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6.652 </w:t>
            </w:r>
            <w:r w:rsidRPr="007C6EEC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val="en-IN"/>
              </w:rPr>
              <w:t>± 0.035</w:t>
            </w:r>
          </w:p>
        </w:tc>
        <w:tc>
          <w:tcPr>
            <w:tcW w:w="907" w:type="dxa"/>
          </w:tcPr>
          <w:p w14:paraId="4F03BF9C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6.643 </w:t>
            </w:r>
            <w:r w:rsidRPr="007C6EEC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0.134</w:t>
            </w:r>
          </w:p>
        </w:tc>
        <w:tc>
          <w:tcPr>
            <w:tcW w:w="907" w:type="dxa"/>
          </w:tcPr>
          <w:p w14:paraId="5DDA986A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6.653 </w:t>
            </w:r>
            <w:r w:rsidRPr="007C6EEC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0.032</w:t>
            </w:r>
          </w:p>
        </w:tc>
        <w:tc>
          <w:tcPr>
            <w:tcW w:w="911" w:type="dxa"/>
          </w:tcPr>
          <w:p w14:paraId="2616050F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6.623 </w:t>
            </w:r>
            <w:r w:rsidRPr="007C6EEC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0.072</w:t>
            </w:r>
          </w:p>
        </w:tc>
      </w:tr>
      <w:tr w:rsidR="007C6EEC" w:rsidRPr="007C6EEC" w14:paraId="0367C4F8" w14:textId="77777777" w:rsidTr="0042247B">
        <w:trPr>
          <w:trHeight w:val="173"/>
        </w:trPr>
        <w:tc>
          <w:tcPr>
            <w:tcW w:w="1424" w:type="dxa"/>
          </w:tcPr>
          <w:p w14:paraId="0D345960" w14:textId="77777777" w:rsidR="007C6EEC" w:rsidRPr="004D3B53" w:rsidRDefault="007C6EEC" w:rsidP="0042247B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bidi="or-IN"/>
              </w:rPr>
            </w:pPr>
            <w:r w:rsidRPr="004D3B53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  <w:t>Viscosity (</w:t>
            </w:r>
            <w:proofErr w:type="spellStart"/>
            <w:r w:rsidRPr="004D3B53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  <w:t>mPa.s</w:t>
            </w:r>
            <w:proofErr w:type="spellEnd"/>
            <w:r w:rsidRPr="004D3B53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  <w:t>) at a Shear rate of 25.1/sec</w:t>
            </w:r>
          </w:p>
        </w:tc>
        <w:tc>
          <w:tcPr>
            <w:tcW w:w="907" w:type="dxa"/>
          </w:tcPr>
          <w:p w14:paraId="2C55668F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450.042 </w:t>
            </w:r>
            <w:r w:rsidRPr="007C6EEC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3.464</w:t>
            </w:r>
          </w:p>
        </w:tc>
        <w:tc>
          <w:tcPr>
            <w:tcW w:w="907" w:type="dxa"/>
          </w:tcPr>
          <w:p w14:paraId="634C35A4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452.034 </w:t>
            </w:r>
            <w:r w:rsidRPr="007C6EEC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2.346</w:t>
            </w:r>
          </w:p>
        </w:tc>
        <w:tc>
          <w:tcPr>
            <w:tcW w:w="907" w:type="dxa"/>
          </w:tcPr>
          <w:p w14:paraId="7DB2CF88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452.132 </w:t>
            </w:r>
            <w:r w:rsidRPr="007C6EEC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2.657</w:t>
            </w:r>
          </w:p>
        </w:tc>
        <w:tc>
          <w:tcPr>
            <w:tcW w:w="1013" w:type="dxa"/>
          </w:tcPr>
          <w:p w14:paraId="4FD09761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450.3344 </w:t>
            </w:r>
            <w:r w:rsidRPr="007C6EEC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3.214</w:t>
            </w:r>
          </w:p>
        </w:tc>
        <w:tc>
          <w:tcPr>
            <w:tcW w:w="907" w:type="dxa"/>
          </w:tcPr>
          <w:p w14:paraId="104C5190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407.73 </w:t>
            </w:r>
            <w:r w:rsidRPr="007C6EEC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2.137</w:t>
            </w:r>
          </w:p>
        </w:tc>
        <w:tc>
          <w:tcPr>
            <w:tcW w:w="907" w:type="dxa"/>
          </w:tcPr>
          <w:p w14:paraId="5AE1B550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407.123 </w:t>
            </w:r>
            <w:r w:rsidRPr="007C6EEC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3.211</w:t>
            </w:r>
          </w:p>
        </w:tc>
        <w:tc>
          <w:tcPr>
            <w:tcW w:w="907" w:type="dxa"/>
          </w:tcPr>
          <w:p w14:paraId="1FF59A27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406.357 </w:t>
            </w:r>
            <w:r w:rsidRPr="007C6EEC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2.244</w:t>
            </w:r>
          </w:p>
        </w:tc>
        <w:tc>
          <w:tcPr>
            <w:tcW w:w="911" w:type="dxa"/>
          </w:tcPr>
          <w:p w14:paraId="2C2786B6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407.133 </w:t>
            </w:r>
            <w:r w:rsidRPr="007C6EEC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3.338</w:t>
            </w:r>
          </w:p>
        </w:tc>
      </w:tr>
      <w:tr w:rsidR="007C6EEC" w:rsidRPr="007C6EEC" w14:paraId="3F31E3DD" w14:textId="77777777" w:rsidTr="0042247B">
        <w:trPr>
          <w:trHeight w:val="173"/>
        </w:trPr>
        <w:tc>
          <w:tcPr>
            <w:tcW w:w="1424" w:type="dxa"/>
          </w:tcPr>
          <w:p w14:paraId="3EFC1132" w14:textId="77777777" w:rsidR="007C6EEC" w:rsidRPr="004D3B53" w:rsidRDefault="007C6EEC" w:rsidP="0042247B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bidi="or-IN"/>
              </w:rPr>
            </w:pPr>
            <w:r w:rsidRPr="004D3B53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>Drug content (%)</w:t>
            </w:r>
          </w:p>
        </w:tc>
        <w:tc>
          <w:tcPr>
            <w:tcW w:w="907" w:type="dxa"/>
          </w:tcPr>
          <w:p w14:paraId="672C805B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98.647 </w:t>
            </w:r>
            <w:r w:rsidRPr="007C6EEC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1.124</w:t>
            </w:r>
          </w:p>
        </w:tc>
        <w:tc>
          <w:tcPr>
            <w:tcW w:w="907" w:type="dxa"/>
          </w:tcPr>
          <w:p w14:paraId="3145110E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98.253 </w:t>
            </w:r>
            <w:r w:rsidRPr="007C6EEC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1.233</w:t>
            </w:r>
          </w:p>
        </w:tc>
        <w:tc>
          <w:tcPr>
            <w:tcW w:w="907" w:type="dxa"/>
          </w:tcPr>
          <w:p w14:paraId="41AC1270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98.147 </w:t>
            </w:r>
            <w:r w:rsidRPr="007C6EEC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1.243</w:t>
            </w:r>
          </w:p>
        </w:tc>
        <w:tc>
          <w:tcPr>
            <w:tcW w:w="1013" w:type="dxa"/>
          </w:tcPr>
          <w:p w14:paraId="014C300D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97.221 </w:t>
            </w:r>
            <w:r w:rsidRPr="007C6EEC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1.225</w:t>
            </w:r>
          </w:p>
        </w:tc>
        <w:tc>
          <w:tcPr>
            <w:tcW w:w="907" w:type="dxa"/>
          </w:tcPr>
          <w:p w14:paraId="62DC22A2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98.436 </w:t>
            </w:r>
            <w:r w:rsidRPr="007C6EEC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1.159</w:t>
            </w:r>
          </w:p>
        </w:tc>
        <w:tc>
          <w:tcPr>
            <w:tcW w:w="907" w:type="dxa"/>
          </w:tcPr>
          <w:p w14:paraId="32299EBC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98.124 </w:t>
            </w:r>
            <w:r w:rsidRPr="007C6EEC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1.287</w:t>
            </w:r>
          </w:p>
        </w:tc>
        <w:tc>
          <w:tcPr>
            <w:tcW w:w="907" w:type="dxa"/>
          </w:tcPr>
          <w:p w14:paraId="01BB573C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97.369 </w:t>
            </w:r>
            <w:r w:rsidRPr="007C6EEC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1.118</w:t>
            </w:r>
          </w:p>
        </w:tc>
        <w:tc>
          <w:tcPr>
            <w:tcW w:w="911" w:type="dxa"/>
          </w:tcPr>
          <w:p w14:paraId="0B0E5079" w14:textId="77777777" w:rsidR="007C6EEC" w:rsidRPr="007C6EEC" w:rsidRDefault="007C6EEC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97.123 </w:t>
            </w:r>
            <w:r w:rsidRPr="007C6EEC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2.134</w:t>
            </w:r>
          </w:p>
        </w:tc>
      </w:tr>
      <w:tr w:rsidR="007C6EEC" w:rsidRPr="007C6EEC" w14:paraId="5CE27244" w14:textId="77777777" w:rsidTr="0042247B">
        <w:trPr>
          <w:trHeight w:val="147"/>
        </w:trPr>
        <w:tc>
          <w:tcPr>
            <w:tcW w:w="1424" w:type="dxa"/>
          </w:tcPr>
          <w:p w14:paraId="77FF5EB4" w14:textId="77777777" w:rsidR="007C6EEC" w:rsidRPr="004D3B53" w:rsidRDefault="007C6EEC" w:rsidP="004224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bookmarkStart w:id="0" w:name="_Hlk128049358"/>
            <w:r w:rsidRPr="004D3B53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val="en-IN"/>
              </w:rPr>
              <w:t>Syneresis</w:t>
            </w:r>
            <w:bookmarkEnd w:id="0"/>
            <w:r w:rsidRPr="004D3B53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val="en-IN"/>
              </w:rPr>
              <w:t xml:space="preserve"> (%)</w:t>
            </w:r>
          </w:p>
        </w:tc>
        <w:tc>
          <w:tcPr>
            <w:tcW w:w="907" w:type="dxa"/>
          </w:tcPr>
          <w:p w14:paraId="1AE1109C" w14:textId="77777777" w:rsidR="007C6EEC" w:rsidRPr="007C6EEC" w:rsidRDefault="007C6EEC" w:rsidP="0042247B">
            <w:pPr>
              <w:spacing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val="en-IN"/>
              </w:rPr>
              <w:t>0.671 ± 0.001</w:t>
            </w:r>
          </w:p>
        </w:tc>
        <w:tc>
          <w:tcPr>
            <w:tcW w:w="907" w:type="dxa"/>
          </w:tcPr>
          <w:p w14:paraId="4746F5D5" w14:textId="77777777" w:rsidR="007C6EEC" w:rsidRPr="007C6EEC" w:rsidRDefault="007C6EEC" w:rsidP="0042247B">
            <w:pPr>
              <w:spacing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0.682 </w:t>
            </w:r>
            <w:r w:rsidRPr="007C6EEC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0.002</w:t>
            </w:r>
          </w:p>
        </w:tc>
        <w:tc>
          <w:tcPr>
            <w:tcW w:w="907" w:type="dxa"/>
          </w:tcPr>
          <w:p w14:paraId="0851B8F6" w14:textId="77777777" w:rsidR="007C6EEC" w:rsidRPr="007C6EEC" w:rsidRDefault="007C6EEC" w:rsidP="0042247B">
            <w:pPr>
              <w:spacing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0.686 </w:t>
            </w:r>
            <w:r w:rsidRPr="007C6EEC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0.001</w:t>
            </w:r>
          </w:p>
        </w:tc>
        <w:tc>
          <w:tcPr>
            <w:tcW w:w="1013" w:type="dxa"/>
          </w:tcPr>
          <w:p w14:paraId="42315AE8" w14:textId="77777777" w:rsidR="007C6EEC" w:rsidRPr="007C6EEC" w:rsidRDefault="007C6EEC" w:rsidP="0042247B">
            <w:pPr>
              <w:spacing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0.693 </w:t>
            </w:r>
            <w:r w:rsidRPr="007C6EEC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0.003</w:t>
            </w:r>
          </w:p>
        </w:tc>
        <w:tc>
          <w:tcPr>
            <w:tcW w:w="907" w:type="dxa"/>
          </w:tcPr>
          <w:p w14:paraId="7A795031" w14:textId="77777777" w:rsidR="007C6EEC" w:rsidRPr="007C6EEC" w:rsidRDefault="007C6EEC" w:rsidP="0042247B">
            <w:pPr>
              <w:spacing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0.941 </w:t>
            </w:r>
            <w:r w:rsidRPr="007C6EEC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0.003</w:t>
            </w:r>
          </w:p>
        </w:tc>
        <w:tc>
          <w:tcPr>
            <w:tcW w:w="907" w:type="dxa"/>
          </w:tcPr>
          <w:p w14:paraId="1B0666CF" w14:textId="77777777" w:rsidR="007C6EEC" w:rsidRPr="007C6EEC" w:rsidRDefault="007C6EEC" w:rsidP="0042247B">
            <w:pPr>
              <w:spacing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0.944 </w:t>
            </w:r>
            <w:r w:rsidRPr="007C6EEC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0.002</w:t>
            </w:r>
          </w:p>
        </w:tc>
        <w:tc>
          <w:tcPr>
            <w:tcW w:w="907" w:type="dxa"/>
          </w:tcPr>
          <w:p w14:paraId="5FA2C22D" w14:textId="77777777" w:rsidR="007C6EEC" w:rsidRPr="007C6EEC" w:rsidRDefault="007C6EEC" w:rsidP="0042247B">
            <w:pPr>
              <w:spacing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0.953 </w:t>
            </w:r>
            <w:r w:rsidRPr="007C6EEC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0.001</w:t>
            </w:r>
          </w:p>
        </w:tc>
        <w:tc>
          <w:tcPr>
            <w:tcW w:w="911" w:type="dxa"/>
          </w:tcPr>
          <w:p w14:paraId="02003448" w14:textId="77777777" w:rsidR="007C6EEC" w:rsidRPr="007C6EEC" w:rsidRDefault="007C6EEC" w:rsidP="0042247B">
            <w:pPr>
              <w:spacing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0.986 </w:t>
            </w:r>
            <w:r w:rsidRPr="007C6EEC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0.002</w:t>
            </w:r>
          </w:p>
        </w:tc>
      </w:tr>
      <w:tr w:rsidR="007C6EEC" w:rsidRPr="007C6EEC" w14:paraId="3D9FB20C" w14:textId="77777777" w:rsidTr="0042247B">
        <w:trPr>
          <w:trHeight w:val="147"/>
        </w:trPr>
        <w:tc>
          <w:tcPr>
            <w:tcW w:w="1424" w:type="dxa"/>
            <w:tcBorders>
              <w:bottom w:val="single" w:sz="4" w:space="0" w:color="auto"/>
            </w:tcBorders>
          </w:tcPr>
          <w:p w14:paraId="764678D0" w14:textId="77777777" w:rsidR="007C6EEC" w:rsidRPr="004D3B53" w:rsidRDefault="007C6EEC" w:rsidP="004224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4D3B53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>Drug-excipient compatibility</w:t>
            </w:r>
          </w:p>
        </w:tc>
        <w:tc>
          <w:tcPr>
            <w:tcW w:w="3734" w:type="dxa"/>
            <w:gridSpan w:val="4"/>
            <w:tcBorders>
              <w:bottom w:val="single" w:sz="4" w:space="0" w:color="auto"/>
            </w:tcBorders>
          </w:tcPr>
          <w:p w14:paraId="0895B9CE" w14:textId="77777777" w:rsidR="007C6EEC" w:rsidRPr="007C6EEC" w:rsidRDefault="007C6EEC" w:rsidP="0042247B">
            <w:pPr>
              <w:spacing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>Compatible</w:t>
            </w:r>
          </w:p>
        </w:tc>
        <w:tc>
          <w:tcPr>
            <w:tcW w:w="3632" w:type="dxa"/>
            <w:gridSpan w:val="4"/>
            <w:tcBorders>
              <w:bottom w:val="single" w:sz="4" w:space="0" w:color="auto"/>
            </w:tcBorders>
          </w:tcPr>
          <w:p w14:paraId="7305B939" w14:textId="77777777" w:rsidR="007C6EEC" w:rsidRPr="007C6EEC" w:rsidRDefault="007C6EEC" w:rsidP="0042247B">
            <w:pPr>
              <w:spacing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7C6EEC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>Compatible</w:t>
            </w:r>
          </w:p>
        </w:tc>
      </w:tr>
    </w:tbl>
    <w:p w14:paraId="327E5765" w14:textId="77777777" w:rsidR="007C6EEC" w:rsidRPr="004158B6" w:rsidRDefault="007C6EEC" w:rsidP="007C6EEC">
      <w:pPr>
        <w:pStyle w:val="Normal1"/>
        <w:spacing w:after="0" w:line="360" w:lineRule="auto"/>
        <w:jc w:val="both"/>
        <w:rPr>
          <w:rFonts w:ascii="Times New Roman" w:eastAsia="GulliverRM" w:hAnsi="Times New Roman" w:cs="Times New Roman"/>
          <w:color w:val="auto"/>
          <w:sz w:val="20"/>
          <w:szCs w:val="20"/>
          <w:vertAlign w:val="superscript"/>
          <w:lang w:val="en-IN" w:bidi="or-IN"/>
        </w:rPr>
      </w:pPr>
      <w:r w:rsidRPr="004158B6"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  <w:t xml:space="preserve">Results are presented as Mean </w:t>
      </w:r>
      <w:r w:rsidRPr="004158B6">
        <w:rPr>
          <w:rFonts w:ascii="Times New Roman" w:eastAsia="GulliverRM" w:hAnsi="Times New Roman" w:cs="Times New Roman"/>
          <w:color w:val="auto"/>
          <w:sz w:val="20"/>
          <w:szCs w:val="20"/>
          <w:vertAlign w:val="superscript"/>
          <w:lang w:val="en-IN" w:bidi="or-IN"/>
        </w:rPr>
        <w:t>± SD</w:t>
      </w:r>
    </w:p>
    <w:p w14:paraId="6C3D011A" w14:textId="77777777" w:rsidR="003C25DB" w:rsidRDefault="003C25DB"/>
    <w:sectPr w:rsidR="003C25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ulliverRM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K1NDOwNDA3MjI0MTJR0lEKTi0uzszPAykwqgUAsUoJMSwAAAA="/>
  </w:docVars>
  <w:rsids>
    <w:rsidRoot w:val="005F328E"/>
    <w:rsid w:val="00116331"/>
    <w:rsid w:val="0015244B"/>
    <w:rsid w:val="001652A9"/>
    <w:rsid w:val="003C25DB"/>
    <w:rsid w:val="004D3B53"/>
    <w:rsid w:val="005D74E9"/>
    <w:rsid w:val="005F328E"/>
    <w:rsid w:val="00620AF9"/>
    <w:rsid w:val="00650CFE"/>
    <w:rsid w:val="006C502E"/>
    <w:rsid w:val="007C6EEC"/>
    <w:rsid w:val="00895CE3"/>
    <w:rsid w:val="008C02E4"/>
    <w:rsid w:val="00913E26"/>
    <w:rsid w:val="00C445A8"/>
    <w:rsid w:val="00CC2EBF"/>
    <w:rsid w:val="00F81F10"/>
    <w:rsid w:val="00F90149"/>
    <w:rsid w:val="00F96BA3"/>
    <w:rsid w:val="00FB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708B4D-9915-4885-BBA8-E3E157928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/>
        <w:bCs/>
        <w:sz w:val="24"/>
        <w:szCs w:val="24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6EEC"/>
    <w:pPr>
      <w:spacing w:after="240" w:line="240" w:lineRule="auto"/>
    </w:pPr>
    <w:rPr>
      <w:rFonts w:cstheme="minorBidi"/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6EEC"/>
    <w:pPr>
      <w:spacing w:after="0" w:line="240" w:lineRule="auto"/>
    </w:pPr>
    <w:rPr>
      <w:rFonts w:asciiTheme="minorHAnsi" w:hAnsiTheme="minorHAnsi" w:cstheme="minorBidi"/>
      <w:b w:val="0"/>
      <w:bCs w:val="0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link w:val="Normal1Char"/>
    <w:rsid w:val="007C6EEC"/>
    <w:pPr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Calibri" w:eastAsia="Calibri" w:hAnsi="Calibri" w:cs="Calibri"/>
      <w:b w:val="0"/>
      <w:bCs w:val="0"/>
      <w:color w:val="000000"/>
      <w:sz w:val="22"/>
      <w:szCs w:val="22"/>
      <w:lang w:val="en-US"/>
    </w:rPr>
  </w:style>
  <w:style w:type="character" w:customStyle="1" w:styleId="Normal1Char">
    <w:name w:val="Normal1 Char"/>
    <w:basedOn w:val="DefaultParagraphFont"/>
    <w:link w:val="Normal1"/>
    <w:rsid w:val="007C6EEC"/>
    <w:rPr>
      <w:rFonts w:ascii="Calibri" w:eastAsia="Calibri" w:hAnsi="Calibri" w:cs="Calibri"/>
      <w:b w:val="0"/>
      <w:bCs w:val="0"/>
      <w:color w:val="000000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Debadatta Mohapatra</dc:creator>
  <cp:keywords/>
  <dc:description/>
  <cp:lastModifiedBy>Debadatta Mohapatra</cp:lastModifiedBy>
  <cp:revision>3</cp:revision>
  <dcterms:created xsi:type="dcterms:W3CDTF">2023-06-30T10:54:00Z</dcterms:created>
  <dcterms:modified xsi:type="dcterms:W3CDTF">2023-06-30T10:55:00Z</dcterms:modified>
</cp:coreProperties>
</file>