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B3DD7" w14:textId="77777777" w:rsidR="00EF3FD2" w:rsidRPr="004158B6" w:rsidRDefault="00EF3FD2" w:rsidP="00EF3FD2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2B13F4">
        <w:rPr>
          <w:rFonts w:ascii="Times New Roman" w:eastAsia="Times New Roman" w:hAnsi="Times New Roman" w:cs="Times New Roman"/>
          <w:b/>
          <w:sz w:val="20"/>
          <w:szCs w:val="20"/>
        </w:rPr>
        <w:t>Table S13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Accelerated stability study of prepared hydrogels at 25 ± 2°C/60 ± 5% RH</w:t>
      </w:r>
    </w:p>
    <w:p w14:paraId="67A023A4" w14:textId="77777777" w:rsidR="00EF3FD2" w:rsidRPr="004158B6" w:rsidRDefault="00EF3FD2" w:rsidP="00EF3FD2">
      <w:pPr>
        <w:rPr>
          <w:sz w:val="20"/>
          <w:szCs w:val="20"/>
        </w:rPr>
      </w:pPr>
    </w:p>
    <w:tbl>
      <w:tblPr>
        <w:tblStyle w:val="TableGrid"/>
        <w:tblW w:w="883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1"/>
        <w:gridCol w:w="1167"/>
        <w:gridCol w:w="1167"/>
        <w:gridCol w:w="1167"/>
        <w:gridCol w:w="1167"/>
        <w:gridCol w:w="1167"/>
        <w:gridCol w:w="1167"/>
      </w:tblGrid>
      <w:tr w:rsidR="00EF3FD2" w:rsidRPr="00EF3FD2" w14:paraId="2BB62883" w14:textId="77777777" w:rsidTr="0042247B">
        <w:trPr>
          <w:trHeight w:val="204"/>
        </w:trPr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05842FCF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GulliverRM" w:hAnsi="Times New Roman" w:cs="Times New Roman"/>
                <w:b w:val="0"/>
                <w:sz w:val="20"/>
                <w:szCs w:val="20"/>
                <w:lang w:val="en-IN" w:bidi="or-IN"/>
              </w:rPr>
            </w:pPr>
            <w:r w:rsidRPr="00EF3FD2">
              <w:rPr>
                <w:rFonts w:ascii="Times New Roman" w:eastAsia="Times New Roman" w:hAnsi="Times New Roman" w:cs="Times New Roman"/>
                <w:sz w:val="20"/>
                <w:szCs w:val="20"/>
              </w:rPr>
              <w:t>Formulations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2ADAE3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TFG F2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1C0343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Plain Gel</w:t>
            </w:r>
          </w:p>
        </w:tc>
      </w:tr>
      <w:tr w:rsidR="00EF3FD2" w:rsidRPr="00EF3FD2" w14:paraId="76995747" w14:textId="77777777" w:rsidTr="0042247B">
        <w:trPr>
          <w:trHeight w:val="204"/>
        </w:trPr>
        <w:tc>
          <w:tcPr>
            <w:tcW w:w="1831" w:type="dxa"/>
            <w:tcBorders>
              <w:top w:val="single" w:sz="4" w:space="0" w:color="auto"/>
              <w:bottom w:val="single" w:sz="4" w:space="0" w:color="auto"/>
            </w:tcBorders>
          </w:tcPr>
          <w:p w14:paraId="063CF725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6BE1F9D7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0 month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573A9E2C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3 months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7ED2DB91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6 months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7A3E44DB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0 month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41E47713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3 months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</w:tcPr>
          <w:p w14:paraId="74B8F4EE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noProof/>
                <w:sz w:val="20"/>
                <w:szCs w:val="20"/>
              </w:rPr>
              <w:t>6 months</w:t>
            </w:r>
          </w:p>
        </w:tc>
      </w:tr>
      <w:tr w:rsidR="00EF3FD2" w:rsidRPr="00EF3FD2" w14:paraId="2B869717" w14:textId="77777777" w:rsidTr="0042247B">
        <w:trPr>
          <w:trHeight w:val="165"/>
        </w:trPr>
        <w:tc>
          <w:tcPr>
            <w:tcW w:w="1831" w:type="dxa"/>
            <w:tcBorders>
              <w:top w:val="single" w:sz="4" w:space="0" w:color="auto"/>
            </w:tcBorders>
          </w:tcPr>
          <w:p w14:paraId="73B632B4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  <w:t>Appearance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</w:tcBorders>
          </w:tcPr>
          <w:p w14:paraId="2FC42398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  <w:tc>
          <w:tcPr>
            <w:tcW w:w="3501" w:type="dxa"/>
            <w:gridSpan w:val="3"/>
            <w:tcBorders>
              <w:top w:val="single" w:sz="4" w:space="0" w:color="auto"/>
            </w:tcBorders>
          </w:tcPr>
          <w:p w14:paraId="12964FF8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Pale yellow  </w:t>
            </w:r>
          </w:p>
        </w:tc>
      </w:tr>
      <w:tr w:rsidR="00EF3FD2" w:rsidRPr="00EF3FD2" w14:paraId="19444500" w14:textId="77777777" w:rsidTr="0042247B">
        <w:trPr>
          <w:trHeight w:val="165"/>
        </w:trPr>
        <w:tc>
          <w:tcPr>
            <w:tcW w:w="1831" w:type="dxa"/>
          </w:tcPr>
          <w:p w14:paraId="655F1775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  <w:t>Consistency and homogeneity</w:t>
            </w:r>
          </w:p>
        </w:tc>
        <w:tc>
          <w:tcPr>
            <w:tcW w:w="3501" w:type="dxa"/>
            <w:gridSpan w:val="3"/>
          </w:tcPr>
          <w:p w14:paraId="0C13D5FF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Gel-like consistency with smooth and homogeneous properties</w:t>
            </w:r>
          </w:p>
        </w:tc>
        <w:tc>
          <w:tcPr>
            <w:tcW w:w="3501" w:type="dxa"/>
            <w:gridSpan w:val="3"/>
          </w:tcPr>
          <w:p w14:paraId="70056017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Gel-like consistency with smooth and homogeneous properties</w:t>
            </w:r>
          </w:p>
        </w:tc>
      </w:tr>
      <w:tr w:rsidR="00EF3FD2" w:rsidRPr="00EF3FD2" w14:paraId="70385F03" w14:textId="77777777" w:rsidTr="0042247B">
        <w:trPr>
          <w:trHeight w:val="213"/>
        </w:trPr>
        <w:tc>
          <w:tcPr>
            <w:tcW w:w="1831" w:type="dxa"/>
          </w:tcPr>
          <w:p w14:paraId="6B17C12D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proofErr w:type="spellStart"/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Spreadability</w:t>
            </w:r>
            <w:proofErr w:type="spellEnd"/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 (cm)</w:t>
            </w:r>
          </w:p>
        </w:tc>
        <w:tc>
          <w:tcPr>
            <w:tcW w:w="1167" w:type="dxa"/>
            <w:vAlign w:val="bottom"/>
          </w:tcPr>
          <w:p w14:paraId="095AD3B0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5.034 ± 0.048</w:t>
            </w:r>
          </w:p>
        </w:tc>
        <w:tc>
          <w:tcPr>
            <w:tcW w:w="1167" w:type="dxa"/>
          </w:tcPr>
          <w:p w14:paraId="7C77AF9F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4.987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0.035</w:t>
            </w:r>
          </w:p>
        </w:tc>
        <w:tc>
          <w:tcPr>
            <w:tcW w:w="1167" w:type="dxa"/>
          </w:tcPr>
          <w:p w14:paraId="169958CE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4.873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0.037</w:t>
            </w:r>
          </w:p>
        </w:tc>
        <w:tc>
          <w:tcPr>
            <w:tcW w:w="1167" w:type="dxa"/>
          </w:tcPr>
          <w:p w14:paraId="13F09BFF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5.23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0.089</w:t>
            </w:r>
          </w:p>
        </w:tc>
        <w:tc>
          <w:tcPr>
            <w:tcW w:w="1167" w:type="dxa"/>
          </w:tcPr>
          <w:p w14:paraId="109D5237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5.156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0.027</w:t>
            </w:r>
          </w:p>
        </w:tc>
        <w:tc>
          <w:tcPr>
            <w:tcW w:w="1167" w:type="dxa"/>
          </w:tcPr>
          <w:p w14:paraId="7E67D3E1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5.024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0.044</w:t>
            </w:r>
          </w:p>
        </w:tc>
      </w:tr>
      <w:tr w:rsidR="00EF3FD2" w:rsidRPr="00EF3FD2" w14:paraId="55D477F1" w14:textId="77777777" w:rsidTr="0042247B">
        <w:trPr>
          <w:trHeight w:val="213"/>
        </w:trPr>
        <w:tc>
          <w:tcPr>
            <w:tcW w:w="1831" w:type="dxa"/>
          </w:tcPr>
          <w:p w14:paraId="3DA1F518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bookmarkStart w:id="0" w:name="_Hlk127958989"/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  <w:t>Extrudability (g)</w:t>
            </w:r>
            <w:bookmarkEnd w:id="0"/>
          </w:p>
        </w:tc>
        <w:tc>
          <w:tcPr>
            <w:tcW w:w="1167" w:type="dxa"/>
            <w:vAlign w:val="bottom"/>
          </w:tcPr>
          <w:p w14:paraId="09446F11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154.372 ± 1.428</w:t>
            </w:r>
          </w:p>
        </w:tc>
        <w:tc>
          <w:tcPr>
            <w:tcW w:w="1167" w:type="dxa"/>
          </w:tcPr>
          <w:p w14:paraId="21658E62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156.545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2.334</w:t>
            </w:r>
          </w:p>
        </w:tc>
        <w:tc>
          <w:tcPr>
            <w:tcW w:w="1167" w:type="dxa"/>
          </w:tcPr>
          <w:p w14:paraId="501409B6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158.357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1.887</w:t>
            </w:r>
          </w:p>
        </w:tc>
        <w:tc>
          <w:tcPr>
            <w:tcW w:w="1167" w:type="dxa"/>
          </w:tcPr>
          <w:p w14:paraId="2BC5693B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146.125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2.147</w:t>
            </w:r>
          </w:p>
        </w:tc>
        <w:tc>
          <w:tcPr>
            <w:tcW w:w="1167" w:type="dxa"/>
          </w:tcPr>
          <w:p w14:paraId="4F62B54E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147.317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2.753</w:t>
            </w:r>
          </w:p>
        </w:tc>
        <w:tc>
          <w:tcPr>
            <w:tcW w:w="1167" w:type="dxa"/>
          </w:tcPr>
          <w:p w14:paraId="18D24602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149.354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1.738</w:t>
            </w:r>
          </w:p>
        </w:tc>
      </w:tr>
      <w:tr w:rsidR="00EF3FD2" w:rsidRPr="00EF3FD2" w14:paraId="242CF50D" w14:textId="77777777" w:rsidTr="0042247B">
        <w:trPr>
          <w:trHeight w:val="165"/>
        </w:trPr>
        <w:tc>
          <w:tcPr>
            <w:tcW w:w="1831" w:type="dxa"/>
          </w:tcPr>
          <w:p w14:paraId="530A41C0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pH</w:t>
            </w:r>
          </w:p>
        </w:tc>
        <w:tc>
          <w:tcPr>
            <w:tcW w:w="1167" w:type="dxa"/>
          </w:tcPr>
          <w:p w14:paraId="4B893D7D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6.736 ± 0.018</w:t>
            </w:r>
          </w:p>
        </w:tc>
        <w:tc>
          <w:tcPr>
            <w:tcW w:w="1167" w:type="dxa"/>
          </w:tcPr>
          <w:p w14:paraId="6B08BCF9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6.735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0.075</w:t>
            </w:r>
          </w:p>
        </w:tc>
        <w:tc>
          <w:tcPr>
            <w:tcW w:w="1167" w:type="dxa"/>
          </w:tcPr>
          <w:p w14:paraId="4946911F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6.686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0.055</w:t>
            </w:r>
          </w:p>
        </w:tc>
        <w:tc>
          <w:tcPr>
            <w:tcW w:w="1167" w:type="dxa"/>
          </w:tcPr>
          <w:p w14:paraId="333A250F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6.652 </w:t>
            </w: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± 0.035</w:t>
            </w:r>
          </w:p>
        </w:tc>
        <w:tc>
          <w:tcPr>
            <w:tcW w:w="1167" w:type="dxa"/>
          </w:tcPr>
          <w:p w14:paraId="58AC7F46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6.655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0.103</w:t>
            </w:r>
          </w:p>
        </w:tc>
        <w:tc>
          <w:tcPr>
            <w:tcW w:w="1167" w:type="dxa"/>
          </w:tcPr>
          <w:p w14:paraId="6C9B7D90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6.631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0.047</w:t>
            </w:r>
          </w:p>
        </w:tc>
      </w:tr>
      <w:tr w:rsidR="00EF3FD2" w:rsidRPr="00EF3FD2" w14:paraId="21A7F3F8" w14:textId="77777777" w:rsidTr="0042247B">
        <w:trPr>
          <w:trHeight w:val="165"/>
        </w:trPr>
        <w:tc>
          <w:tcPr>
            <w:tcW w:w="1831" w:type="dxa"/>
          </w:tcPr>
          <w:p w14:paraId="6BC1B163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Viscosity (</w:t>
            </w:r>
            <w:proofErr w:type="spellStart"/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mPa.s</w:t>
            </w:r>
            <w:proofErr w:type="spellEnd"/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) at a Shear rate of 25.1/sec</w:t>
            </w:r>
          </w:p>
        </w:tc>
        <w:tc>
          <w:tcPr>
            <w:tcW w:w="1167" w:type="dxa"/>
          </w:tcPr>
          <w:p w14:paraId="00BF0F9D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450.042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3.464</w:t>
            </w:r>
          </w:p>
        </w:tc>
        <w:tc>
          <w:tcPr>
            <w:tcW w:w="1167" w:type="dxa"/>
          </w:tcPr>
          <w:p w14:paraId="3CC6BC33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455.754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2.117</w:t>
            </w:r>
          </w:p>
        </w:tc>
        <w:tc>
          <w:tcPr>
            <w:tcW w:w="1167" w:type="dxa"/>
          </w:tcPr>
          <w:p w14:paraId="2F2EB2EB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457.454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2.786</w:t>
            </w:r>
          </w:p>
        </w:tc>
        <w:tc>
          <w:tcPr>
            <w:tcW w:w="1167" w:type="dxa"/>
          </w:tcPr>
          <w:p w14:paraId="2D929DC4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407.73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2.137</w:t>
            </w:r>
          </w:p>
        </w:tc>
        <w:tc>
          <w:tcPr>
            <w:tcW w:w="1167" w:type="dxa"/>
          </w:tcPr>
          <w:p w14:paraId="6CBB2B1D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410.557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3.154</w:t>
            </w:r>
          </w:p>
        </w:tc>
        <w:tc>
          <w:tcPr>
            <w:tcW w:w="1167" w:type="dxa"/>
          </w:tcPr>
          <w:p w14:paraId="6371D93D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412.857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2.244</w:t>
            </w:r>
          </w:p>
        </w:tc>
      </w:tr>
      <w:tr w:rsidR="00EF3FD2" w:rsidRPr="00EF3FD2" w14:paraId="6D496E77" w14:textId="77777777" w:rsidTr="0042247B">
        <w:trPr>
          <w:trHeight w:val="165"/>
        </w:trPr>
        <w:tc>
          <w:tcPr>
            <w:tcW w:w="1831" w:type="dxa"/>
          </w:tcPr>
          <w:p w14:paraId="43473FC5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Drug content (%)</w:t>
            </w:r>
          </w:p>
        </w:tc>
        <w:tc>
          <w:tcPr>
            <w:tcW w:w="1167" w:type="dxa"/>
          </w:tcPr>
          <w:p w14:paraId="1F6637C5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98.647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1.124</w:t>
            </w:r>
          </w:p>
        </w:tc>
        <w:tc>
          <w:tcPr>
            <w:tcW w:w="1167" w:type="dxa"/>
          </w:tcPr>
          <w:p w14:paraId="2F7633D2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97.754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2.225</w:t>
            </w:r>
          </w:p>
        </w:tc>
        <w:tc>
          <w:tcPr>
            <w:tcW w:w="1167" w:type="dxa"/>
          </w:tcPr>
          <w:p w14:paraId="64AEBC0E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97.346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1.633</w:t>
            </w:r>
          </w:p>
        </w:tc>
        <w:tc>
          <w:tcPr>
            <w:tcW w:w="1167" w:type="dxa"/>
          </w:tcPr>
          <w:p w14:paraId="1E714AD7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98.436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1.159</w:t>
            </w:r>
          </w:p>
        </w:tc>
        <w:tc>
          <w:tcPr>
            <w:tcW w:w="1167" w:type="dxa"/>
          </w:tcPr>
          <w:p w14:paraId="7B50E734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97.368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1.354</w:t>
            </w:r>
          </w:p>
        </w:tc>
        <w:tc>
          <w:tcPr>
            <w:tcW w:w="1167" w:type="dxa"/>
          </w:tcPr>
          <w:p w14:paraId="69C2B292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96.843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2.433</w:t>
            </w:r>
          </w:p>
        </w:tc>
      </w:tr>
      <w:tr w:rsidR="00EF3FD2" w:rsidRPr="00EF3FD2" w14:paraId="0C26745D" w14:textId="77777777" w:rsidTr="0042247B">
        <w:trPr>
          <w:trHeight w:val="141"/>
        </w:trPr>
        <w:tc>
          <w:tcPr>
            <w:tcW w:w="1831" w:type="dxa"/>
          </w:tcPr>
          <w:p w14:paraId="351FCCDB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Syneresis (%)</w:t>
            </w:r>
          </w:p>
        </w:tc>
        <w:tc>
          <w:tcPr>
            <w:tcW w:w="1167" w:type="dxa"/>
          </w:tcPr>
          <w:p w14:paraId="2002D0B1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0.671 ± 0.001</w:t>
            </w:r>
          </w:p>
        </w:tc>
        <w:tc>
          <w:tcPr>
            <w:tcW w:w="1167" w:type="dxa"/>
          </w:tcPr>
          <w:p w14:paraId="270CD5B1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0.697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0.003</w:t>
            </w:r>
          </w:p>
        </w:tc>
        <w:tc>
          <w:tcPr>
            <w:tcW w:w="1167" w:type="dxa"/>
          </w:tcPr>
          <w:p w14:paraId="326EB467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0.712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±0.002</w:t>
            </w:r>
          </w:p>
        </w:tc>
        <w:tc>
          <w:tcPr>
            <w:tcW w:w="1167" w:type="dxa"/>
          </w:tcPr>
          <w:p w14:paraId="5C0BA9BC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0.941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0.003</w:t>
            </w:r>
          </w:p>
        </w:tc>
        <w:tc>
          <w:tcPr>
            <w:tcW w:w="1167" w:type="dxa"/>
          </w:tcPr>
          <w:p w14:paraId="467B74BA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0.988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0.001</w:t>
            </w:r>
          </w:p>
        </w:tc>
        <w:tc>
          <w:tcPr>
            <w:tcW w:w="1167" w:type="dxa"/>
          </w:tcPr>
          <w:p w14:paraId="0939DED6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0.997 </w:t>
            </w:r>
            <w:r w:rsidRPr="00EF3FD2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0.003</w:t>
            </w:r>
          </w:p>
        </w:tc>
      </w:tr>
      <w:tr w:rsidR="00EF3FD2" w:rsidRPr="00EF3FD2" w14:paraId="6C7C026F" w14:textId="77777777" w:rsidTr="0042247B">
        <w:trPr>
          <w:trHeight w:val="141"/>
        </w:trPr>
        <w:tc>
          <w:tcPr>
            <w:tcW w:w="1831" w:type="dxa"/>
            <w:tcBorders>
              <w:bottom w:val="single" w:sz="4" w:space="0" w:color="auto"/>
            </w:tcBorders>
          </w:tcPr>
          <w:p w14:paraId="3A4AC53D" w14:textId="77777777" w:rsidR="00EF3FD2" w:rsidRPr="00EF3FD2" w:rsidRDefault="00EF3FD2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Drug-excipient compatibility</w:t>
            </w:r>
          </w:p>
        </w:tc>
        <w:tc>
          <w:tcPr>
            <w:tcW w:w="3501" w:type="dxa"/>
            <w:gridSpan w:val="3"/>
            <w:tcBorders>
              <w:bottom w:val="single" w:sz="4" w:space="0" w:color="auto"/>
            </w:tcBorders>
          </w:tcPr>
          <w:p w14:paraId="617D8A80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Compatible</w:t>
            </w:r>
          </w:p>
        </w:tc>
        <w:tc>
          <w:tcPr>
            <w:tcW w:w="3501" w:type="dxa"/>
            <w:gridSpan w:val="3"/>
            <w:tcBorders>
              <w:bottom w:val="single" w:sz="4" w:space="0" w:color="auto"/>
            </w:tcBorders>
          </w:tcPr>
          <w:p w14:paraId="28374C6F" w14:textId="77777777" w:rsidR="00EF3FD2" w:rsidRPr="00EF3FD2" w:rsidRDefault="00EF3FD2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EF3FD2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Compatible</w:t>
            </w:r>
          </w:p>
        </w:tc>
      </w:tr>
    </w:tbl>
    <w:p w14:paraId="6C763A6F" w14:textId="77777777" w:rsidR="00EF3FD2" w:rsidRPr="004158B6" w:rsidRDefault="00EF3FD2" w:rsidP="00EF3FD2">
      <w:pPr>
        <w:pStyle w:val="Normal1"/>
        <w:spacing w:after="0" w:line="360" w:lineRule="auto"/>
        <w:jc w:val="both"/>
        <w:rPr>
          <w:rFonts w:ascii="Times New Roman" w:eastAsia="GulliverRM" w:hAnsi="Times New Roman" w:cs="Times New Roman"/>
          <w:color w:val="auto"/>
          <w:sz w:val="20"/>
          <w:szCs w:val="20"/>
          <w:vertAlign w:val="superscript"/>
          <w:lang w:val="en-IN" w:bidi="or-IN"/>
        </w:rPr>
      </w:pPr>
      <w:r w:rsidRPr="004158B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Results are presented as Mean </w:t>
      </w:r>
      <w:r w:rsidRPr="004158B6">
        <w:rPr>
          <w:rFonts w:ascii="Times New Roman" w:eastAsia="GulliverRM" w:hAnsi="Times New Roman" w:cs="Times New Roman"/>
          <w:color w:val="auto"/>
          <w:sz w:val="20"/>
          <w:szCs w:val="20"/>
          <w:vertAlign w:val="superscript"/>
          <w:lang w:val="en-IN" w:bidi="or-IN"/>
        </w:rPr>
        <w:t>± SD</w:t>
      </w:r>
    </w:p>
    <w:p w14:paraId="0EE018CB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liverRM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0Mbc0NjIyMTdT0lEKTi0uzszPAykwrAUApigo2ywAAAA="/>
  </w:docVars>
  <w:rsids>
    <w:rsidRoot w:val="002366B0"/>
    <w:rsid w:val="00116331"/>
    <w:rsid w:val="0015244B"/>
    <w:rsid w:val="001652A9"/>
    <w:rsid w:val="002366B0"/>
    <w:rsid w:val="002B13F4"/>
    <w:rsid w:val="003C25DB"/>
    <w:rsid w:val="005D74E9"/>
    <w:rsid w:val="00620AF9"/>
    <w:rsid w:val="00650CFE"/>
    <w:rsid w:val="006C502E"/>
    <w:rsid w:val="00895CE3"/>
    <w:rsid w:val="008C02E4"/>
    <w:rsid w:val="00913E26"/>
    <w:rsid w:val="00C445A8"/>
    <w:rsid w:val="00CC2EBF"/>
    <w:rsid w:val="00EF3FD2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55E057F-72C9-46CE-AD2E-209776A6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3FD2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FD2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EF3FD2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EF3FD2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2023-06-30T10:55:00Z</dcterms:created>
  <dcterms:modified xsi:type="dcterms:W3CDTF">2023-06-30T10:56:00Z</dcterms:modified>
</cp:coreProperties>
</file>