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3951" w:rsidRDefault="00873951" w:rsidP="00873951">
      <w:pPr>
        <w:spacing w:after="160" w:line="360" w:lineRule="auto"/>
        <w:rPr>
          <w:rFonts w:ascii="Times New Roman" w:eastAsia="Calibri" w:hAnsi="Times New Roman" w:cs="Times New Roman"/>
          <w:b/>
          <w:bCs/>
          <w:sz w:val="24"/>
          <w:szCs w:val="24"/>
        </w:rPr>
      </w:pPr>
      <w:bookmarkStart w:id="0" w:name="_GoBack"/>
      <w:bookmarkEnd w:id="0"/>
      <w:r>
        <w:rPr>
          <w:rFonts w:ascii="Times New Roman" w:eastAsia="Calibri" w:hAnsi="Times New Roman" w:cs="Times New Roman"/>
          <w:b/>
          <w:bCs/>
          <w:sz w:val="24"/>
          <w:szCs w:val="24"/>
        </w:rPr>
        <w:t>Supplemental File 2:</w:t>
      </w:r>
    </w:p>
    <w:p w:rsidR="004330C9" w:rsidRPr="00975311" w:rsidRDefault="004A0B76" w:rsidP="00975311">
      <w:pPr>
        <w:shd w:val="clear" w:color="auto" w:fill="FFFFFF"/>
        <w:spacing w:after="160" w:line="360" w:lineRule="auto"/>
        <w:contextualSpacing/>
        <w:jc w:val="center"/>
        <w:rPr>
          <w:rFonts w:ascii="Times New Roman" w:eastAsia="Times New Roman" w:hAnsi="Times New Roman" w:cs="Times New Roman"/>
          <w:color w:val="000000"/>
          <w:sz w:val="24"/>
          <w:szCs w:val="24"/>
          <w:lang w:bidi="fa-IR"/>
        </w:rPr>
      </w:pPr>
      <w:r w:rsidRPr="004A0B76">
        <w:rPr>
          <w:rFonts w:ascii="Times New Roman" w:eastAsia="Times New Roman" w:hAnsi="Times New Roman" w:cs="Times New Roman"/>
          <w:color w:val="000000"/>
          <w:sz w:val="24"/>
          <w:szCs w:val="24"/>
          <w:lang w:bidi="fa-IR"/>
        </w:rPr>
        <w:t>Probiotics in Kidney tissue engineering and regeneration</w:t>
      </w:r>
    </w:p>
    <w:tbl>
      <w:tblPr>
        <w:tblStyle w:val="TableGrid1"/>
        <w:tblpPr w:leftFromText="180" w:rightFromText="180" w:vertAnchor="page" w:horzAnchor="margin" w:tblpXSpec="center" w:tblpY="4765"/>
        <w:tblW w:w="10620" w:type="dxa"/>
        <w:tblLayout w:type="fixed"/>
        <w:tblLook w:val="0000" w:firstRow="0" w:lastRow="0" w:firstColumn="0" w:lastColumn="0" w:noHBand="0" w:noVBand="0"/>
      </w:tblPr>
      <w:tblGrid>
        <w:gridCol w:w="3415"/>
        <w:gridCol w:w="2970"/>
        <w:gridCol w:w="3240"/>
        <w:gridCol w:w="995"/>
      </w:tblGrid>
      <w:tr w:rsidR="004330C9" w:rsidRPr="00603F87" w:rsidTr="004A0B76">
        <w:trPr>
          <w:trHeight w:val="201"/>
        </w:trPr>
        <w:tc>
          <w:tcPr>
            <w:tcW w:w="3415" w:type="dxa"/>
            <w:vAlign w:val="center"/>
          </w:tcPr>
          <w:p w:rsidR="004330C9" w:rsidRPr="00603F87" w:rsidRDefault="004330C9" w:rsidP="00C5127F">
            <w:pPr>
              <w:autoSpaceDE w:val="0"/>
              <w:autoSpaceDN w:val="0"/>
              <w:adjustRightInd w:val="0"/>
              <w:spacing w:after="100" w:line="360" w:lineRule="auto"/>
              <w:contextualSpacing/>
              <w:jc w:val="center"/>
              <w:rPr>
                <w:rFonts w:ascii="Times New Roman" w:eastAsia="Calibri" w:hAnsi="Times New Roman" w:cs="Times New Roman"/>
              </w:rPr>
            </w:pPr>
            <w:r w:rsidRPr="00603F87">
              <w:rPr>
                <w:rFonts w:ascii="Times New Roman" w:hAnsi="Times New Roman" w:cs="Times New Roman"/>
                <w:b/>
                <w:bCs/>
              </w:rPr>
              <w:t>Probiotics</w:t>
            </w:r>
          </w:p>
        </w:tc>
        <w:tc>
          <w:tcPr>
            <w:tcW w:w="2970" w:type="dxa"/>
            <w:vAlign w:val="center"/>
          </w:tcPr>
          <w:p w:rsidR="004330C9" w:rsidRPr="00603F87" w:rsidRDefault="004330C9" w:rsidP="004330C9">
            <w:pPr>
              <w:autoSpaceDE w:val="0"/>
              <w:autoSpaceDN w:val="0"/>
              <w:adjustRightInd w:val="0"/>
              <w:spacing w:after="100" w:line="360" w:lineRule="auto"/>
              <w:contextualSpacing/>
              <w:jc w:val="center"/>
              <w:rPr>
                <w:rFonts w:ascii="Times New Roman" w:hAnsi="Times New Roman" w:cs="Times New Roman"/>
                <w:b/>
                <w:bCs/>
              </w:rPr>
            </w:pPr>
            <w:r w:rsidRPr="00603F87">
              <w:rPr>
                <w:rFonts w:ascii="Times New Roman" w:hAnsi="Times New Roman" w:cs="Times New Roman"/>
                <w:b/>
                <w:bCs/>
              </w:rPr>
              <w:t>Useful Effects</w:t>
            </w:r>
          </w:p>
        </w:tc>
        <w:tc>
          <w:tcPr>
            <w:tcW w:w="3240" w:type="dxa"/>
            <w:vAlign w:val="center"/>
          </w:tcPr>
          <w:p w:rsidR="004330C9" w:rsidRPr="00603F87" w:rsidRDefault="004330C9" w:rsidP="00C5127F">
            <w:pPr>
              <w:autoSpaceDE w:val="0"/>
              <w:autoSpaceDN w:val="0"/>
              <w:adjustRightInd w:val="0"/>
              <w:spacing w:after="100" w:line="360" w:lineRule="auto"/>
              <w:contextualSpacing/>
              <w:jc w:val="center"/>
              <w:rPr>
                <w:rFonts w:ascii="Times New Roman" w:hAnsi="Times New Roman" w:cs="Times New Roman"/>
                <w:b/>
                <w:bCs/>
              </w:rPr>
            </w:pPr>
            <w:r w:rsidRPr="00603F87">
              <w:rPr>
                <w:rFonts w:ascii="Times New Roman" w:hAnsi="Times New Roman" w:cs="Times New Roman"/>
                <w:b/>
                <w:bCs/>
              </w:rPr>
              <w:t>Outcome</w:t>
            </w:r>
          </w:p>
        </w:tc>
        <w:tc>
          <w:tcPr>
            <w:tcW w:w="995" w:type="dxa"/>
            <w:vAlign w:val="center"/>
          </w:tcPr>
          <w:p w:rsidR="004330C9" w:rsidRPr="00603F87" w:rsidRDefault="004330C9" w:rsidP="00C5127F">
            <w:pPr>
              <w:autoSpaceDE w:val="0"/>
              <w:autoSpaceDN w:val="0"/>
              <w:adjustRightInd w:val="0"/>
              <w:spacing w:after="100" w:line="360" w:lineRule="auto"/>
              <w:contextualSpacing/>
              <w:jc w:val="center"/>
              <w:rPr>
                <w:rFonts w:ascii="Times New Roman" w:hAnsi="Times New Roman" w:cs="Times New Roman"/>
                <w:b/>
                <w:bCs/>
              </w:rPr>
            </w:pPr>
            <w:r w:rsidRPr="00603F87">
              <w:rPr>
                <w:rFonts w:ascii="Times New Roman" w:hAnsi="Times New Roman" w:cs="Times New Roman"/>
                <w:b/>
                <w:bCs/>
              </w:rPr>
              <w:t>Ref.</w:t>
            </w:r>
          </w:p>
        </w:tc>
      </w:tr>
      <w:tr w:rsidR="004330C9" w:rsidRPr="00603F87" w:rsidTr="004A0B76">
        <w:trPr>
          <w:trHeight w:val="1204"/>
        </w:trPr>
        <w:tc>
          <w:tcPr>
            <w:tcW w:w="3415" w:type="dxa"/>
            <w:vAlign w:val="center"/>
          </w:tcPr>
          <w:p w:rsidR="004330C9" w:rsidRPr="00603F87" w:rsidRDefault="004330C9" w:rsidP="00C5127F">
            <w:pPr>
              <w:autoSpaceDE w:val="0"/>
              <w:autoSpaceDN w:val="0"/>
              <w:adjustRightInd w:val="0"/>
              <w:spacing w:after="100" w:line="360" w:lineRule="auto"/>
              <w:contextualSpacing/>
              <w:jc w:val="center"/>
              <w:rPr>
                <w:rFonts w:ascii="Times New Roman" w:eastAsia="Calibri" w:hAnsi="Times New Roman" w:cs="Times New Roman"/>
                <w:color w:val="000000"/>
              </w:rPr>
            </w:pPr>
            <w:r w:rsidRPr="00603F87">
              <w:rPr>
                <w:rFonts w:ascii="Times New Roman" w:eastAsia="Calibri" w:hAnsi="Times New Roman" w:cs="Times New Roman"/>
                <w:i/>
                <w:iCs/>
                <w:color w:val="000000"/>
              </w:rPr>
              <w:t>Lactobacillus casei Shirota (LcS)</w:t>
            </w:r>
          </w:p>
        </w:tc>
        <w:tc>
          <w:tcPr>
            <w:tcW w:w="2970" w:type="dxa"/>
            <w:vAlign w:val="center"/>
          </w:tcPr>
          <w:p w:rsidR="004330C9" w:rsidRPr="00603F87" w:rsidRDefault="004330C9" w:rsidP="00C5127F">
            <w:pPr>
              <w:autoSpaceDE w:val="0"/>
              <w:autoSpaceDN w:val="0"/>
              <w:adjustRightInd w:val="0"/>
              <w:spacing w:after="100" w:line="360" w:lineRule="auto"/>
              <w:contextualSpacing/>
              <w:jc w:val="center"/>
              <w:rPr>
                <w:rFonts w:ascii="Times New Roman" w:eastAsia="Calibri" w:hAnsi="Times New Roman" w:cs="Times New Roman"/>
                <w:color w:val="000000"/>
              </w:rPr>
            </w:pPr>
            <w:r w:rsidRPr="00603F87">
              <w:rPr>
                <w:rFonts w:ascii="Times New Roman" w:eastAsia="Calibri" w:hAnsi="Times New Roman" w:cs="Times New Roman"/>
                <w:color w:val="000000"/>
              </w:rPr>
              <w:t>Reduction of ammonia levels in patients (a urea precursor involved with bacteria).</w:t>
            </w:r>
          </w:p>
        </w:tc>
        <w:tc>
          <w:tcPr>
            <w:tcW w:w="3240" w:type="dxa"/>
            <w:vAlign w:val="center"/>
          </w:tcPr>
          <w:p w:rsidR="004330C9" w:rsidRPr="00603F87" w:rsidRDefault="004330C9" w:rsidP="00C5127F">
            <w:pPr>
              <w:autoSpaceDE w:val="0"/>
              <w:autoSpaceDN w:val="0"/>
              <w:adjustRightInd w:val="0"/>
              <w:spacing w:after="100" w:line="360" w:lineRule="auto"/>
              <w:contextualSpacing/>
              <w:jc w:val="center"/>
              <w:rPr>
                <w:rFonts w:ascii="Times New Roman" w:eastAsia="Calibri" w:hAnsi="Times New Roman" w:cs="Times New Roman"/>
                <w:color w:val="000000"/>
              </w:rPr>
            </w:pPr>
            <w:r w:rsidRPr="00603F87">
              <w:rPr>
                <w:rFonts w:ascii="Times New Roman" w:eastAsia="Calibri" w:hAnsi="Times New Roman" w:cs="Times New Roman"/>
                <w:color w:val="000000"/>
              </w:rPr>
              <w:t>More than 10% reduction in levels of serum urea after dietary intervention (LcS for patients with CKD stages 3 and 4).</w:t>
            </w:r>
          </w:p>
        </w:tc>
        <w:tc>
          <w:tcPr>
            <w:tcW w:w="995" w:type="dxa"/>
            <w:vAlign w:val="center"/>
          </w:tcPr>
          <w:p w:rsidR="004330C9" w:rsidRPr="00603F87" w:rsidRDefault="004330C9" w:rsidP="00975311">
            <w:pPr>
              <w:autoSpaceDE w:val="0"/>
              <w:autoSpaceDN w:val="0"/>
              <w:adjustRightInd w:val="0"/>
              <w:spacing w:after="100" w:line="360" w:lineRule="auto"/>
              <w:contextualSpacing/>
              <w:jc w:val="center"/>
              <w:rPr>
                <w:rFonts w:ascii="Times New Roman" w:eastAsia="Calibri" w:hAnsi="Times New Roman" w:cs="Times New Roman"/>
                <w:color w:val="000000"/>
              </w:rPr>
            </w:pPr>
            <w:r w:rsidRPr="00603F87">
              <w:rPr>
                <w:rFonts w:ascii="Times New Roman" w:eastAsia="Calibri" w:hAnsi="Times New Roman" w:cs="Times New Roman"/>
                <w:color w:val="000000"/>
              </w:rPr>
              <w:fldChar w:fldCharType="begin" w:fldLock="1"/>
            </w:r>
            <w:r w:rsidR="00975311">
              <w:rPr>
                <w:rFonts w:ascii="Times New Roman" w:eastAsia="Calibri" w:hAnsi="Times New Roman" w:cs="Times New Roman"/>
                <w:color w:val="000000"/>
              </w:rPr>
              <w:instrText>ADDIN CSL_CITATION {"citationItems":[{"id":"ITEM-1","itemData":{"ISSN":"0212-1611","abstract":"Introduction: Patients with chronic kidney disease (CKD) show an increase in bowel aerobic bacteria that produce uremic toxins and decreased anaerobic bacteria as bifidobacteria and lactobacillus. The latter can be used as probiotics. The probiotic with greater availability in Mexico, is the lactobacillus casei shirota (LcS), currently there is no known LcS specified dose that produces a benefit to the patient with CKD. Objective: To determine the effectiveness of two different LcS doses in achieving a decrease in urea concentrations of at least 10% in patients with KDOQI stage 3 and stage 4 CKD. Metodology: A simple randomized, controlled clinical trial. Outpatients treated at the National Institute of Medical Sciences and Nutrition Salvador Zubirán in México D.F. Patients were provided the LcS, as follows: Group A: 8 x 109 colony-forming units (CFU) and Group B: 16 x 109 CFU. Patients were followed-up for eight weeks, and baseline and final samples were obtained to calculate the basal and final concentrations, respectively, of blood urea and serum creatinine (CrS). During the follow-up, both groups consumed a diet of 30 kcal/kg/weight and 0.8 g/kg/weight of protein, and a food diary was made to assess both the adherence to the diet and LcS. Results: Thirty patients with CKD were evaluated. When analyzing the percentage change between the different doses, a decrease &gt; 10% was found in the blood urea concentrations for patients treated with the 16 x 109 dose, which was significant with respect to the baseline measurement. Conclusion: There was a &gt; 10% decrease in the serum urea concentrations with LcS in patients with stage 3 and 4 CRF.","author":[{"dropping-particle":"","family":"Alatriste","given":"P. V. M.","non-dropping-particle":"","parse-names":false,"suffix":""},{"dropping-particle":"","family":"Arronte","given":"R. U.","non-dropping-particle":"","parse-names":false,"suffix":""},{"dropping-particle":"","family":"Espinosa","given":"C. O. G.","non-dropping-particle":"","parse-names":false,"suffix":""},{"dropping-particle":"","family":"Cuevas","given":"M. L. A. E.","non-dropping-particle":"","parse-names":false,"suffix":""}],"container-title":"Nutrición Hospitalaria","id":"ITEM-1","issue":"3","issued":{"date-parts":[["2014"]]},"page":"582-590","publisher":"Sociedad Española de Nutrición Parenteral y Enteral","title":"Effect of probiotics on human blood urea levels in patients with chronic renal failure","type":"article-journal","volume":"29"},"uris":["http://www.mendeley.com/documents/?uuid=1894bbb3-c7f5-4695-9efd-1d42436b1a16"]}],"mendeley":{"formattedCitation":"&lt;span style=\"baseline\"&gt;[1]&lt;/span&gt;"},"properties":{"noteIndex":0},"schema":"https://github.com/citation-style-language/schema/raw/master/csl-citation.json"}</w:instrText>
            </w:r>
            <w:r w:rsidRPr="00603F87">
              <w:rPr>
                <w:rFonts w:ascii="Times New Roman" w:eastAsia="Calibri" w:hAnsi="Times New Roman" w:cs="Times New Roman"/>
                <w:color w:val="000000"/>
              </w:rPr>
              <w:fldChar w:fldCharType="separate"/>
            </w:r>
            <w:r w:rsidR="00975311" w:rsidRPr="00975311">
              <w:rPr>
                <w:rFonts w:ascii="Times New Roman" w:eastAsia="Calibri" w:hAnsi="Times New Roman" w:cs="Times New Roman"/>
                <w:noProof/>
                <w:color w:val="000000"/>
              </w:rPr>
              <w:t>[1]</w:t>
            </w:r>
            <w:r w:rsidRPr="00603F87">
              <w:rPr>
                <w:rFonts w:ascii="Times New Roman" w:eastAsia="Calibri" w:hAnsi="Times New Roman" w:cs="Times New Roman"/>
                <w:color w:val="000000"/>
              </w:rPr>
              <w:fldChar w:fldCharType="end"/>
            </w:r>
          </w:p>
        </w:tc>
      </w:tr>
      <w:tr w:rsidR="004330C9" w:rsidRPr="00603F87" w:rsidTr="004A0B76">
        <w:trPr>
          <w:trHeight w:val="981"/>
        </w:trPr>
        <w:tc>
          <w:tcPr>
            <w:tcW w:w="3415" w:type="dxa"/>
            <w:vAlign w:val="center"/>
          </w:tcPr>
          <w:p w:rsidR="004330C9" w:rsidRPr="00603F87" w:rsidRDefault="004330C9" w:rsidP="00C5127F">
            <w:pPr>
              <w:autoSpaceDE w:val="0"/>
              <w:autoSpaceDN w:val="0"/>
              <w:adjustRightInd w:val="0"/>
              <w:spacing w:after="100" w:line="360" w:lineRule="auto"/>
              <w:contextualSpacing/>
              <w:jc w:val="center"/>
              <w:rPr>
                <w:rFonts w:ascii="Times New Roman" w:eastAsia="Calibri" w:hAnsi="Times New Roman" w:cs="Times New Roman"/>
                <w:color w:val="000000"/>
              </w:rPr>
            </w:pPr>
            <w:r w:rsidRPr="00603F87">
              <w:rPr>
                <w:rFonts w:ascii="Times New Roman" w:eastAsia="Calibri" w:hAnsi="Times New Roman" w:cs="Times New Roman"/>
                <w:i/>
                <w:iCs/>
                <w:color w:val="000000"/>
              </w:rPr>
              <w:t xml:space="preserve">Bifidobacterium bifidum </w:t>
            </w:r>
            <w:r w:rsidRPr="00603F87">
              <w:rPr>
                <w:rFonts w:ascii="Times New Roman" w:eastAsia="Calibri" w:hAnsi="Times New Roman" w:cs="Times New Roman"/>
                <w:color w:val="000000"/>
              </w:rPr>
              <w:t>and</w:t>
            </w:r>
            <w:r w:rsidRPr="00603F87">
              <w:rPr>
                <w:rFonts w:ascii="Times New Roman" w:eastAsia="Calibri" w:hAnsi="Times New Roman" w:cs="Times New Roman"/>
                <w:i/>
                <w:iCs/>
                <w:color w:val="000000"/>
              </w:rPr>
              <w:t xml:space="preserve"> Lactobacillus acidophilus </w:t>
            </w:r>
            <w:r w:rsidRPr="00603F87">
              <w:rPr>
                <w:rFonts w:ascii="Times New Roman" w:eastAsia="Calibri" w:hAnsi="Times New Roman" w:cs="Times New Roman"/>
                <w:color w:val="000000"/>
              </w:rPr>
              <w:t>prebiotic inulin fiber, omega-3 fatty acids, and vitamins (B vitamins, folic acid, ascorbic acid, and vitamin E).</w:t>
            </w:r>
          </w:p>
        </w:tc>
        <w:tc>
          <w:tcPr>
            <w:tcW w:w="2970" w:type="dxa"/>
            <w:vAlign w:val="center"/>
          </w:tcPr>
          <w:p w:rsidR="004330C9" w:rsidRPr="00603F87" w:rsidRDefault="004330C9" w:rsidP="00C5127F">
            <w:pPr>
              <w:autoSpaceDE w:val="0"/>
              <w:autoSpaceDN w:val="0"/>
              <w:adjustRightInd w:val="0"/>
              <w:spacing w:after="100" w:line="360" w:lineRule="auto"/>
              <w:contextualSpacing/>
              <w:jc w:val="center"/>
              <w:rPr>
                <w:rFonts w:ascii="Times New Roman" w:eastAsia="Calibri" w:hAnsi="Times New Roman" w:cs="Times New Roman"/>
                <w:color w:val="000000"/>
              </w:rPr>
            </w:pPr>
            <w:r w:rsidRPr="00603F87">
              <w:rPr>
                <w:rFonts w:ascii="Times New Roman" w:eastAsia="Calibri" w:hAnsi="Times New Roman" w:cs="Times New Roman"/>
                <w:i/>
                <w:iCs/>
                <w:color w:val="000000"/>
              </w:rPr>
              <w:t>Bifidobacterial</w:t>
            </w:r>
            <w:r w:rsidRPr="00603F87">
              <w:rPr>
                <w:rFonts w:ascii="Times New Roman" w:eastAsia="Calibri" w:hAnsi="Times New Roman" w:cs="Times New Roman"/>
                <w:color w:val="000000"/>
              </w:rPr>
              <w:t xml:space="preserve"> count increment.</w:t>
            </w:r>
          </w:p>
        </w:tc>
        <w:tc>
          <w:tcPr>
            <w:tcW w:w="3240" w:type="dxa"/>
            <w:vAlign w:val="center"/>
          </w:tcPr>
          <w:p w:rsidR="004330C9" w:rsidRPr="00603F87" w:rsidRDefault="004330C9" w:rsidP="00C5127F">
            <w:pPr>
              <w:autoSpaceDE w:val="0"/>
              <w:autoSpaceDN w:val="0"/>
              <w:adjustRightInd w:val="0"/>
              <w:spacing w:after="100" w:line="360" w:lineRule="auto"/>
              <w:contextualSpacing/>
              <w:jc w:val="center"/>
              <w:rPr>
                <w:rFonts w:ascii="Times New Roman" w:eastAsia="Calibri" w:hAnsi="Times New Roman" w:cs="Times New Roman"/>
                <w:color w:val="000000"/>
              </w:rPr>
            </w:pPr>
            <w:r w:rsidRPr="00603F87">
              <w:rPr>
                <w:rFonts w:ascii="Times New Roman" w:eastAsia="Calibri" w:hAnsi="Times New Roman" w:cs="Times New Roman"/>
                <w:color w:val="000000"/>
              </w:rPr>
              <w:t>Symbiotic gel applied for two months may be potentially in the patient’s treatment with kidney disease and maybe causes the bifidobacteria population increment.</w:t>
            </w:r>
          </w:p>
        </w:tc>
        <w:tc>
          <w:tcPr>
            <w:tcW w:w="995" w:type="dxa"/>
            <w:vAlign w:val="center"/>
          </w:tcPr>
          <w:p w:rsidR="004330C9" w:rsidRPr="00603F87" w:rsidRDefault="004330C9" w:rsidP="00975311">
            <w:pPr>
              <w:autoSpaceDE w:val="0"/>
              <w:autoSpaceDN w:val="0"/>
              <w:adjustRightInd w:val="0"/>
              <w:spacing w:after="100" w:line="360" w:lineRule="auto"/>
              <w:contextualSpacing/>
              <w:jc w:val="center"/>
              <w:rPr>
                <w:rFonts w:ascii="Times New Roman" w:eastAsia="Calibri" w:hAnsi="Times New Roman" w:cs="Times New Roman"/>
                <w:color w:val="000000"/>
              </w:rPr>
            </w:pPr>
            <w:r w:rsidRPr="00603F87">
              <w:rPr>
                <w:rFonts w:ascii="Times New Roman" w:eastAsia="Calibri" w:hAnsi="Times New Roman" w:cs="Times New Roman"/>
                <w:color w:val="000000"/>
              </w:rPr>
              <w:fldChar w:fldCharType="begin" w:fldLock="1"/>
            </w:r>
            <w:r w:rsidR="00975311">
              <w:rPr>
                <w:rFonts w:ascii="Times New Roman" w:eastAsia="Calibri" w:hAnsi="Times New Roman" w:cs="Times New Roman"/>
                <w:color w:val="000000"/>
              </w:rPr>
              <w:instrText>ADDIN CSL_CITATION {"citationItems":[{"id":"ITEM-1","itemData":{"DOI":"10.1053/j.jrn.2014.05.006","ISSN":"10512276","abstract":"Objectives: Gut microbiota provides beneficial effects under physiological conditions, but is able to contribute to inflammatory diseases in susceptible individuals. Thus, we designed this study to test whether additional intake of symbiotic gel affects specific modifications of gut microbiota in patients with end-stage renal disease (ESRD). Methods: Eighteen patients with ESRD diagnosis with renal replacement therapy (hemodialysis) were included in this study. They were randomly assigned to 2 treatment groups: (1) test group (nutritional counseling + symbiotic) and (2) control group (nutritional counseling + placebo). Clinical history and the evaluation of Gastrointestinal Symptom Rating Scale were performed. Gut microbiota composition was analyzed by real-time polymerase chain reaction from fecal samples. All subjects were followed for 2 months. Results: Bifidobacterial counts were higher in the second samples (mean: 5.5 ± 1.72 log10 cells/g) than in first samples (4.2 ± 0.88 log 10 cells/g) in the patients of the test group (P = .0344). Also, lactobacilli counts had a little decrease in the test group (2.3 ± 0.75 to 2.0 ± 0.88 log 10 cells/g) and the control group (2.2 ± 0.90 to 1.8 ± 1.33 log 10 cells/g), between the first and the second samples. Gastrointestinal symptoms scores (scale 8-40) were reduced in the test group (start 12 [10-14] and end 9 [8-10]) compared with control group (start 11 [8-21] and end 11 [9-15]). Conclusions: Short-term symbiotic treatment in patients with ESRD can lead to the increase of Bifidobacterium counts, maintaining the intestinal microbial balance. © 2014 National Kidney Foundation, Inc.","author":[{"dropping-particle":"","family":"Cruz-Mora","given":"José","non-dropping-particle":"","parse-names":false,"suffix":""},{"dropping-particle":"","family":"Martínez-Hernández","given":"Norma E.","non-dropping-particle":"","parse-names":false,"suffix":""},{"dropping-particle":"","family":"Martín del Campo-López","given":"Fabiola","non-dropping-particle":"","parse-names":false,"suffix":""},{"dropping-particle":"","family":"Viramontes-Hörner","given":"Daniela","non-dropping-particle":"","parse-names":false,"suffix":""},{"dropping-particle":"","family":"Vizmanos-Lamotte","given":"Bárbara","non-dropping-particle":"","parse-names":false,"suffix":""},{"dropping-particle":"","family":"Muñoz-Valle","given":"José F.","non-dropping-particle":"","parse-names":false,"suffix":""},{"dropping-particle":"","family":"García-García","given":"Guillermo","non-dropping-particle":"","parse-names":false,"suffix":""},{"dropping-particle":"","family":"Parra-Rojas","given":"Isela","non-dropping-particle":"","parse-names":false,"suffix":""},{"dropping-particle":"","family":"Castro-Alarcón","given":"Natividad","non-dropping-particle":"","parse-names":false,"suffix":""}],"container-title":"Journal of Renal Nutrition","id":"ITEM-1","issue":"5","issued":{"date-parts":[["2014"]]},"page":"330-335","publisher":"Elsevier","title":"Effects of a Symbiotic on Gut Microbiota in Mexican Patients With End-Stage Renal Disease","type":"article-journal","volume":"24"},"uris":["http://www.mendeley.com/documents/?uuid=d0cf9e49-36e3-4113-a03b-7232638289e9"]}],"mendeley":{"formattedCitation":"&lt;span style=\"baseline\"&gt;[2]&lt;/span&gt;"},"properties":{"noteIndex":0},"schema":"https://github.com/citation-style-language/schema/raw/master/csl-citation.json"}</w:instrText>
            </w:r>
            <w:r w:rsidRPr="00603F87">
              <w:rPr>
                <w:rFonts w:ascii="Times New Roman" w:eastAsia="Calibri" w:hAnsi="Times New Roman" w:cs="Times New Roman"/>
                <w:color w:val="000000"/>
              </w:rPr>
              <w:fldChar w:fldCharType="separate"/>
            </w:r>
            <w:r w:rsidR="00975311" w:rsidRPr="00975311">
              <w:rPr>
                <w:rFonts w:ascii="Times New Roman" w:eastAsia="Calibri" w:hAnsi="Times New Roman" w:cs="Times New Roman"/>
                <w:noProof/>
                <w:color w:val="000000"/>
              </w:rPr>
              <w:t>[2]</w:t>
            </w:r>
            <w:r w:rsidRPr="00603F87">
              <w:rPr>
                <w:rFonts w:ascii="Times New Roman" w:eastAsia="Calibri" w:hAnsi="Times New Roman" w:cs="Times New Roman"/>
                <w:color w:val="000000"/>
              </w:rPr>
              <w:fldChar w:fldCharType="end"/>
            </w:r>
          </w:p>
        </w:tc>
      </w:tr>
      <w:tr w:rsidR="004330C9" w:rsidRPr="00603F87" w:rsidTr="004A0B76">
        <w:trPr>
          <w:trHeight w:val="1985"/>
        </w:trPr>
        <w:tc>
          <w:tcPr>
            <w:tcW w:w="3415" w:type="dxa"/>
            <w:vAlign w:val="center"/>
          </w:tcPr>
          <w:p w:rsidR="00194385" w:rsidRPr="00603F87" w:rsidRDefault="004330C9" w:rsidP="00C5127F">
            <w:pPr>
              <w:autoSpaceDE w:val="0"/>
              <w:autoSpaceDN w:val="0"/>
              <w:adjustRightInd w:val="0"/>
              <w:spacing w:after="100" w:line="360" w:lineRule="auto"/>
              <w:contextualSpacing/>
              <w:jc w:val="center"/>
              <w:rPr>
                <w:rFonts w:ascii="Times New Roman" w:eastAsia="Calibri" w:hAnsi="Times New Roman" w:cs="Times New Roman"/>
                <w:i/>
                <w:iCs/>
                <w:color w:val="000000"/>
              </w:rPr>
            </w:pPr>
            <w:r w:rsidRPr="00603F87">
              <w:rPr>
                <w:rFonts w:ascii="Times New Roman" w:eastAsia="Calibri" w:hAnsi="Times New Roman" w:cs="Times New Roman"/>
                <w:i/>
                <w:iCs/>
                <w:color w:val="000000"/>
              </w:rPr>
              <w:t>Lactobacillus planta</w:t>
            </w:r>
            <w:r w:rsidR="00194385" w:rsidRPr="00603F87">
              <w:rPr>
                <w:rFonts w:ascii="Times New Roman" w:eastAsia="Calibri" w:hAnsi="Times New Roman" w:cs="Times New Roman"/>
                <w:i/>
                <w:iCs/>
                <w:color w:val="000000"/>
              </w:rPr>
              <w:t xml:space="preserve">rum, Lactobacillus casei subsp. </w:t>
            </w:r>
            <w:r w:rsidRPr="00603F87">
              <w:rPr>
                <w:rFonts w:ascii="Times New Roman" w:eastAsia="Calibri" w:hAnsi="Times New Roman" w:cs="Times New Roman"/>
                <w:i/>
                <w:iCs/>
                <w:color w:val="000000"/>
              </w:rPr>
              <w:t xml:space="preserve">Rhamnosus, </w:t>
            </w:r>
          </w:p>
          <w:p w:rsidR="00FE2160" w:rsidRPr="00603F87" w:rsidRDefault="004330C9" w:rsidP="00C5127F">
            <w:pPr>
              <w:autoSpaceDE w:val="0"/>
              <w:autoSpaceDN w:val="0"/>
              <w:adjustRightInd w:val="0"/>
              <w:spacing w:after="100" w:line="360" w:lineRule="auto"/>
              <w:contextualSpacing/>
              <w:jc w:val="center"/>
              <w:rPr>
                <w:rFonts w:ascii="Times New Roman" w:eastAsia="Calibri" w:hAnsi="Times New Roman" w:cs="Times New Roman"/>
                <w:i/>
                <w:iCs/>
                <w:color w:val="000000"/>
              </w:rPr>
            </w:pPr>
            <w:r w:rsidRPr="00603F87">
              <w:rPr>
                <w:rFonts w:ascii="Times New Roman" w:eastAsia="Calibri" w:hAnsi="Times New Roman" w:cs="Times New Roman"/>
                <w:i/>
                <w:iCs/>
                <w:color w:val="000000"/>
              </w:rPr>
              <w:t xml:space="preserve">Lactobacillus gasseri, </w:t>
            </w:r>
          </w:p>
          <w:p w:rsidR="004330C9" w:rsidRPr="00603F87" w:rsidRDefault="004330C9" w:rsidP="00194385">
            <w:pPr>
              <w:autoSpaceDE w:val="0"/>
              <w:autoSpaceDN w:val="0"/>
              <w:adjustRightInd w:val="0"/>
              <w:spacing w:after="100" w:line="360" w:lineRule="auto"/>
              <w:contextualSpacing/>
              <w:jc w:val="center"/>
              <w:rPr>
                <w:rFonts w:ascii="Times New Roman" w:eastAsia="Calibri" w:hAnsi="Times New Roman" w:cs="Times New Roman"/>
                <w:color w:val="000000"/>
              </w:rPr>
            </w:pPr>
            <w:r w:rsidRPr="00603F87">
              <w:rPr>
                <w:rFonts w:ascii="Times New Roman" w:eastAsia="Calibri" w:hAnsi="Times New Roman" w:cs="Times New Roman"/>
                <w:i/>
                <w:iCs/>
                <w:color w:val="000000"/>
              </w:rPr>
              <w:t xml:space="preserve">Bifidobacterium infantis, Bifidobacterium longum, Lactobacillus acidophilus, Lactobacillus salivarius, Lactobacillus sporogenes, Streptococcus thermophilus, </w:t>
            </w:r>
            <w:r w:rsidR="00FE2160" w:rsidRPr="00603F87">
              <w:rPr>
                <w:rFonts w:ascii="Times New Roman" w:hAnsi="Times New Roman" w:cs="Times New Roman"/>
              </w:rPr>
              <w:t xml:space="preserve"> </w:t>
            </w:r>
            <w:r w:rsidR="00194385" w:rsidRPr="00603F87">
              <w:rPr>
                <w:rFonts w:ascii="Times New Roman" w:eastAsia="Calibri" w:hAnsi="Times New Roman" w:cs="Times New Roman"/>
                <w:color w:val="000000"/>
              </w:rPr>
              <w:t>P</w:t>
            </w:r>
            <w:r w:rsidR="00FE2160" w:rsidRPr="00603F87">
              <w:rPr>
                <w:rFonts w:ascii="Times New Roman" w:eastAsia="Calibri" w:hAnsi="Times New Roman" w:cs="Times New Roman"/>
                <w:color w:val="000000"/>
              </w:rPr>
              <w:t>rebiotic inulin (VB Beneo Synergy 1)</w:t>
            </w:r>
            <w:r w:rsidRPr="00603F87">
              <w:rPr>
                <w:rFonts w:ascii="Times New Roman" w:eastAsia="Calibri" w:hAnsi="Times New Roman" w:cs="Times New Roman"/>
                <w:i/>
                <w:iCs/>
                <w:color w:val="000000"/>
              </w:rPr>
              <w:t xml:space="preserve"> </w:t>
            </w:r>
            <w:r w:rsidRPr="00603F87">
              <w:rPr>
                <w:rFonts w:ascii="Times New Roman" w:eastAsia="Calibri" w:hAnsi="Times New Roman" w:cs="Times New Roman"/>
                <w:color w:val="000000"/>
              </w:rPr>
              <w:t>and resistant tapioca starch</w:t>
            </w:r>
            <w:r w:rsidRPr="00603F87">
              <w:rPr>
                <w:rFonts w:ascii="Times New Roman" w:eastAsia="Calibri" w:hAnsi="Times New Roman" w:cs="Times New Roman"/>
                <w:i/>
                <w:iCs/>
                <w:color w:val="000000"/>
              </w:rPr>
              <w:t>.</w:t>
            </w:r>
          </w:p>
        </w:tc>
        <w:tc>
          <w:tcPr>
            <w:tcW w:w="2970" w:type="dxa"/>
            <w:vAlign w:val="center"/>
          </w:tcPr>
          <w:p w:rsidR="004330C9" w:rsidRPr="00603F87" w:rsidRDefault="004330C9" w:rsidP="00C5127F">
            <w:pPr>
              <w:autoSpaceDE w:val="0"/>
              <w:autoSpaceDN w:val="0"/>
              <w:adjustRightInd w:val="0"/>
              <w:spacing w:after="100" w:line="360" w:lineRule="auto"/>
              <w:contextualSpacing/>
              <w:jc w:val="center"/>
              <w:rPr>
                <w:rFonts w:ascii="Times New Roman" w:eastAsia="Calibri" w:hAnsi="Times New Roman" w:cs="Times New Roman"/>
                <w:color w:val="000000"/>
              </w:rPr>
            </w:pPr>
            <w:r w:rsidRPr="00603F87">
              <w:rPr>
                <w:rFonts w:ascii="Times New Roman" w:eastAsia="Calibri" w:hAnsi="Times New Roman" w:cs="Times New Roman"/>
                <w:color w:val="000000"/>
              </w:rPr>
              <w:t>Plasma p-cresol levels of non-dialysis CKD patients were reduced by the symbiotic agent.</w:t>
            </w:r>
          </w:p>
        </w:tc>
        <w:tc>
          <w:tcPr>
            <w:tcW w:w="3240" w:type="dxa"/>
            <w:vAlign w:val="center"/>
          </w:tcPr>
          <w:p w:rsidR="004330C9" w:rsidRPr="00603F87" w:rsidRDefault="004330C9" w:rsidP="00C5127F">
            <w:pPr>
              <w:autoSpaceDE w:val="0"/>
              <w:autoSpaceDN w:val="0"/>
              <w:adjustRightInd w:val="0"/>
              <w:spacing w:after="100" w:line="360" w:lineRule="auto"/>
              <w:contextualSpacing/>
              <w:jc w:val="center"/>
              <w:rPr>
                <w:rFonts w:ascii="Times New Roman" w:eastAsia="Calibri" w:hAnsi="Times New Roman" w:cs="Times New Roman"/>
                <w:color w:val="000000"/>
              </w:rPr>
            </w:pPr>
            <w:r w:rsidRPr="00603F87">
              <w:rPr>
                <w:rFonts w:ascii="Times New Roman" w:eastAsia="Calibri" w:hAnsi="Times New Roman" w:cs="Times New Roman"/>
                <w:color w:val="000000"/>
              </w:rPr>
              <w:t>Total plasma p-cresol levels in CKD patients stages 3 and 4 were decreased by  symbiotic agent.</w:t>
            </w:r>
          </w:p>
        </w:tc>
        <w:tc>
          <w:tcPr>
            <w:tcW w:w="995" w:type="dxa"/>
            <w:vAlign w:val="center"/>
          </w:tcPr>
          <w:p w:rsidR="004330C9" w:rsidRPr="00603F87" w:rsidRDefault="004330C9" w:rsidP="00975311">
            <w:pPr>
              <w:autoSpaceDE w:val="0"/>
              <w:autoSpaceDN w:val="0"/>
              <w:adjustRightInd w:val="0"/>
              <w:spacing w:after="100" w:line="360" w:lineRule="auto"/>
              <w:contextualSpacing/>
              <w:jc w:val="center"/>
              <w:rPr>
                <w:rFonts w:ascii="Times New Roman" w:eastAsia="Calibri" w:hAnsi="Times New Roman" w:cs="Times New Roman"/>
                <w:color w:val="000000"/>
              </w:rPr>
            </w:pPr>
            <w:r w:rsidRPr="00603F87">
              <w:rPr>
                <w:rFonts w:ascii="Times New Roman" w:eastAsia="Calibri" w:hAnsi="Times New Roman" w:cs="Times New Roman"/>
                <w:color w:val="000000"/>
              </w:rPr>
              <w:fldChar w:fldCharType="begin" w:fldLock="1"/>
            </w:r>
            <w:r w:rsidR="00975311">
              <w:rPr>
                <w:rFonts w:ascii="Times New Roman" w:eastAsia="Calibri" w:hAnsi="Times New Roman" w:cs="Times New Roman"/>
                <w:color w:val="000000"/>
              </w:rPr>
              <w:instrText>ADDIN CSL_CITATION {"citationItems":[{"id":"ITEM-1","itemData":{"DOI":"10.1016/j.numecd.2014.04.007","ISSN":"15903729","PMID":"24929795","abstract":"Background and aims: In patients with chronic kidney disease (CKD), alterations in gut microbiome are posited to be responsible for gastrointestinal symptoms and generation of p-cresol, a uremic toxin that has been associated with CKD progression and cardiovascular mortality. This pilot study investigated whether Probinul-neutro ®, a synbiotic that normalizes intestinal microflora, may lower plasma p-cresol concentrations and reduce gastrointestinal symptoms in non-dialyzed CKD patients. Methods and results: This was a double-blind, randomized placebo-controlled trial. Thirty patients on 3-4 CKD stages were randomized to receive either Probinul neutro ® or placebo for 4 weeks. Total plasma p-cresol concentration was assessed at baseline, and 15 and 30 days after treatment start. At the same study times, ease and frequency of defecation, upper and lower abdominal pain, stool shape, borborygmi, and flatus were quantified by subjective assessment questionnaires. Compared to baseline total plasma p-cresol median concentrations on 15th and 30th day were significantly lower in patients receiving Probinul-neutro ® (2.31 and 0.78 vs. 3.05 μg/ml, p &lt; 0.05; n = 18); no changes of plasma p-cresol concentrations were recorded in placebo-treated patients. No significant changes in gastrointestinal symptoms were observed during the study both in Probinul-neutro ®-treated and placebo-treated patients. Conclusion: Probinul-neutro ® lowered total plasma p-cresol concentrations but did not ameliorate gastrointestinal symptoms in non-dialyzed CKD patients. Because high plasma concentrations of p-cresol in early phases of CKD are predictive of progression to end-stage renal disease, the results of our study suggest that synbiotics deserve attention as possible tools to delay CKD progression towards end-stage renal disease (ESRD). ClinicalTrials.gov identifier: NCT02008331.","author":[{"dropping-particle":"","family":"Guida","given":"B.","non-dropping-particle":"","parse-names":false,"suffix":""},{"dropping-particle":"","family":"Germanò","given":"R.","non-dropping-particle":"","parse-names":false,"suffix":""},{"dropping-particle":"","family":"Trio","given":"R.","non-dropping-particle":"","parse-names":false,"suffix":""},{"dropping-particle":"","family":"Russo","given":"D.","non-dropping-particle":"","parse-names":false,"suffix":""},{"dropping-particle":"","family":"Memoli","given":"B.","non-dropping-particle":"","parse-names":false,"suffix":""},{"dropping-particle":"","family":"Grumetto","given":"L.","non-dropping-particle":"","parse-names":false,"suffix":""},{"dropping-particle":"","family":"Barbato","given":"F.","non-dropping-particle":"","parse-names":false,"suffix":""},{"dropping-particle":"","family":"Cataldi","given":"M.","non-dropping-particle":"","parse-names":false,"suffix":""}],"container-title":"Nutrition, Metabolism and Cardiovascular Diseases","id":"ITEM-1","issue":"9","issued":{"date-parts":[["2014"]]},"page":"1043-1049","publisher":"Elsevier","title":"Effect of short-term synbiotic treatment on plasma p-cresol levels in patients with chronic renal failure: A randomized clinical trial","type":"article-journal","volume":"24"},"uris":["http://www.mendeley.com/documents/?uuid=45fb9f4d-5b25-4edf-8988-f7f052588054"]}],"mendeley":{"formattedCitation":"&lt;span style=\"baseline\"&gt;[3]&lt;/span&gt;"},"properties":{"noteIndex":0},"schema":"https://github.com/citation-style-language/schema/raw/master/csl-citation.json"}</w:instrText>
            </w:r>
            <w:r w:rsidRPr="00603F87">
              <w:rPr>
                <w:rFonts w:ascii="Times New Roman" w:eastAsia="Calibri" w:hAnsi="Times New Roman" w:cs="Times New Roman"/>
                <w:color w:val="000000"/>
              </w:rPr>
              <w:fldChar w:fldCharType="separate"/>
            </w:r>
            <w:r w:rsidR="00975311" w:rsidRPr="00975311">
              <w:rPr>
                <w:rFonts w:ascii="Times New Roman" w:eastAsia="Calibri" w:hAnsi="Times New Roman" w:cs="Times New Roman"/>
                <w:noProof/>
                <w:color w:val="000000"/>
              </w:rPr>
              <w:t>[3]</w:t>
            </w:r>
            <w:r w:rsidRPr="00603F87">
              <w:rPr>
                <w:rFonts w:ascii="Times New Roman" w:eastAsia="Calibri" w:hAnsi="Times New Roman" w:cs="Times New Roman"/>
                <w:color w:val="000000"/>
              </w:rPr>
              <w:fldChar w:fldCharType="end"/>
            </w:r>
          </w:p>
        </w:tc>
      </w:tr>
      <w:tr w:rsidR="004330C9" w:rsidRPr="00603F87" w:rsidTr="004A0B76">
        <w:trPr>
          <w:trHeight w:val="759"/>
        </w:trPr>
        <w:tc>
          <w:tcPr>
            <w:tcW w:w="3415" w:type="dxa"/>
            <w:vAlign w:val="center"/>
          </w:tcPr>
          <w:p w:rsidR="004330C9" w:rsidRPr="00603F87" w:rsidRDefault="004330C9" w:rsidP="00C5127F">
            <w:pPr>
              <w:autoSpaceDE w:val="0"/>
              <w:autoSpaceDN w:val="0"/>
              <w:adjustRightInd w:val="0"/>
              <w:spacing w:after="100" w:line="360" w:lineRule="auto"/>
              <w:contextualSpacing/>
              <w:jc w:val="center"/>
              <w:rPr>
                <w:rFonts w:ascii="Times New Roman" w:eastAsia="Calibri" w:hAnsi="Times New Roman" w:cs="Times New Roman"/>
                <w:color w:val="000000"/>
              </w:rPr>
            </w:pPr>
            <w:r w:rsidRPr="00603F87">
              <w:rPr>
                <w:rFonts w:ascii="Times New Roman" w:eastAsia="Calibri" w:hAnsi="Times New Roman" w:cs="Times New Roman"/>
                <w:i/>
                <w:iCs/>
                <w:color w:val="000000"/>
              </w:rPr>
              <w:lastRenderedPageBreak/>
              <w:t>S. thermophilus KB 19, L. acidophilus KB 27, B. longum KB 31.</w:t>
            </w:r>
          </w:p>
        </w:tc>
        <w:tc>
          <w:tcPr>
            <w:tcW w:w="2970" w:type="dxa"/>
            <w:vAlign w:val="center"/>
          </w:tcPr>
          <w:p w:rsidR="004330C9" w:rsidRPr="00603F87" w:rsidRDefault="004330C9" w:rsidP="00C5127F">
            <w:pPr>
              <w:autoSpaceDE w:val="0"/>
              <w:autoSpaceDN w:val="0"/>
              <w:adjustRightInd w:val="0"/>
              <w:spacing w:after="100" w:line="360" w:lineRule="auto"/>
              <w:contextualSpacing/>
              <w:jc w:val="center"/>
              <w:rPr>
                <w:rFonts w:ascii="Times New Roman" w:eastAsia="Calibri" w:hAnsi="Times New Roman" w:cs="Times New Roman"/>
                <w:color w:val="000000"/>
              </w:rPr>
            </w:pPr>
            <w:r w:rsidRPr="00603F87">
              <w:rPr>
                <w:rFonts w:ascii="Times New Roman" w:eastAsia="Calibri" w:hAnsi="Times New Roman" w:cs="Times New Roman"/>
                <w:color w:val="000000"/>
              </w:rPr>
              <w:t>None</w:t>
            </w:r>
          </w:p>
        </w:tc>
        <w:tc>
          <w:tcPr>
            <w:tcW w:w="3240" w:type="dxa"/>
            <w:vAlign w:val="center"/>
          </w:tcPr>
          <w:p w:rsidR="004330C9" w:rsidRPr="00603F87" w:rsidRDefault="004330C9" w:rsidP="00C5127F">
            <w:pPr>
              <w:autoSpaceDE w:val="0"/>
              <w:autoSpaceDN w:val="0"/>
              <w:adjustRightInd w:val="0"/>
              <w:spacing w:after="100" w:line="360" w:lineRule="auto"/>
              <w:contextualSpacing/>
              <w:jc w:val="center"/>
              <w:rPr>
                <w:rFonts w:ascii="Times New Roman" w:eastAsia="Calibri" w:hAnsi="Times New Roman" w:cs="Times New Roman"/>
                <w:color w:val="000000"/>
              </w:rPr>
            </w:pPr>
            <w:r w:rsidRPr="00603F87">
              <w:rPr>
                <w:rFonts w:ascii="Times New Roman" w:eastAsia="Calibri" w:hAnsi="Times New Roman" w:cs="Times New Roman"/>
                <w:color w:val="000000"/>
              </w:rPr>
              <w:t xml:space="preserve"> Because of small sample size and low statistical power, efficiency could not be confirmed firstly.  </w:t>
            </w:r>
          </w:p>
          <w:p w:rsidR="004330C9" w:rsidRPr="00603F87" w:rsidRDefault="004330C9" w:rsidP="00C5127F">
            <w:pPr>
              <w:autoSpaceDE w:val="0"/>
              <w:autoSpaceDN w:val="0"/>
              <w:adjustRightInd w:val="0"/>
              <w:spacing w:after="100" w:line="360" w:lineRule="auto"/>
              <w:contextualSpacing/>
              <w:jc w:val="center"/>
              <w:rPr>
                <w:rFonts w:ascii="Times New Roman" w:eastAsia="Calibri" w:hAnsi="Times New Roman" w:cs="Times New Roman"/>
                <w:color w:val="000000"/>
              </w:rPr>
            </w:pPr>
            <w:r w:rsidRPr="00603F87">
              <w:rPr>
                <w:rFonts w:ascii="Times New Roman" w:eastAsia="Calibri" w:hAnsi="Times New Roman" w:cs="Times New Roman"/>
                <w:color w:val="000000"/>
              </w:rPr>
              <w:t>More studies are required.</w:t>
            </w:r>
          </w:p>
        </w:tc>
        <w:tc>
          <w:tcPr>
            <w:tcW w:w="995" w:type="dxa"/>
            <w:vAlign w:val="center"/>
          </w:tcPr>
          <w:p w:rsidR="004330C9" w:rsidRPr="00603F87" w:rsidRDefault="004330C9" w:rsidP="00975311">
            <w:pPr>
              <w:autoSpaceDE w:val="0"/>
              <w:autoSpaceDN w:val="0"/>
              <w:adjustRightInd w:val="0"/>
              <w:spacing w:after="100" w:line="360" w:lineRule="auto"/>
              <w:contextualSpacing/>
              <w:jc w:val="center"/>
              <w:rPr>
                <w:rFonts w:ascii="Times New Roman" w:eastAsia="Calibri" w:hAnsi="Times New Roman" w:cs="Times New Roman"/>
                <w:color w:val="000000"/>
              </w:rPr>
            </w:pPr>
            <w:r w:rsidRPr="00603F87">
              <w:rPr>
                <w:rFonts w:ascii="Times New Roman" w:eastAsia="Calibri" w:hAnsi="Times New Roman" w:cs="Times New Roman"/>
                <w:color w:val="000000"/>
              </w:rPr>
              <w:fldChar w:fldCharType="begin" w:fldLock="1"/>
            </w:r>
            <w:r w:rsidR="00975311">
              <w:rPr>
                <w:rFonts w:ascii="Times New Roman" w:eastAsia="Calibri" w:hAnsi="Times New Roman" w:cs="Times New Roman"/>
                <w:color w:val="000000"/>
              </w:rPr>
              <w:instrText>ADDIN CSL_CITATION {"citationItems":[{"id":"ITEM-1","itemData":{"DOI":"10.1155/2014/568571","ISSN":"23146141","PMID":"25147806","abstract":"Background. Primary goal of this randomized, double-blind, placebo-controlled crossover study of Renadyl in end-stage renal disease patients was to assess the safety and efficacy of Renadyl measured through improvement in quality of life or reduction in levels of known uremic toxins. Secondary goal was to investigate the effects on several biomarkers of inflammation and oxidative stress. Methods. Two 2-month treatment periods separated by 2-month washout and crossover, with physical examinations, venous blood testing, and quality of life questionnaires completed at each visit. Data were analyzed with SAS V9.2. Results. 22 subjects (79%) completed the study. Observed trends were as follows (none reaching statistical significance): decline in WBC count (- 0.51 × 10 9 / L, P = 0.057) and reductions in levels of C-reactive protein (- 8.61 mg/L, P = 0.071) and total indoxyl glucuronide (- 0.11 mg %, P = 0.058). No statistically significant changes were observed in other uremic toxin levels or measures of QOL. Conclusions. Renadyl appeared to be safe to administer to ESRD patients on hemodialysis. Stability in QOL assessment is an encouraging result for a patient cohort in such advanced stage of kidney disease. Efficacy could not be confirmed definitively, primarily due to small sample size and low statistical power - further studies are warranted.","author":[{"dropping-particle":"","family":"Natarajan","given":"Ranganathan","non-dropping-particle":"","parse-names":false,"suffix":""},{"dropping-particle":"","family":"Pechenyak","given":"Bohdan","non-dropping-particle":"","parse-names":false,"suffix":""},{"dropping-particle":"","family":"Vyas","given":"Usha","non-dropping-particle":"","parse-names":false,"suffix":""},{"dropping-particle":"","family":"Ranganathan","given":"Pari","non-dropping-particle":"","parse-names":false,"suffix":""},{"dropping-particle":"","family":"Weinberg","given":"Alan","non-dropping-particle":"","parse-names":false,"suffix":""},{"dropping-particle":"","family":"Liang","given":"Peter","non-dropping-particle":"","parse-names":false,"suffix":""},{"dropping-particle":"","family":"Mallappallil","given":"Mary C.","non-dropping-particle":"","parse-names":false,"suffix":""},{"dropping-particle":"","family":"Norin","given":"Allen J.","non-dropping-particle":"","parse-names":false,"suffix":""},{"dropping-particle":"","family":"Friedman","given":"Eli A.","non-dropping-particle":"","parse-names":false,"suffix":""},{"dropping-particle":"","family":"Saggi","given":"Subodh J.","non-dropping-particle":"","parse-names":false,"suffix":""}],"container-title":"BioMed Research International","id":"ITEM-1","issued":{"date-parts":[["2014"]]},"publisher":"Hindawi","title":"Randomized Controlled Trial of Strain-Specific Probiotic Formulation (Renadyl) in Dialysis Patients","type":"article-journal","volume":"2014"},"uris":["http://www.mendeley.com/documents/?uuid=4d9736e3-6d58-4079-bfcc-9541e6bf00bf"]}],"mendeley":{"formattedCitation":"&lt;span style=\"baseline\"&gt;[4]&lt;/span&gt;"},"properties":{"noteIndex":0},"schema":"https://github.com/citation-style-language/schema/raw/master/csl-citation.json"}</w:instrText>
            </w:r>
            <w:r w:rsidRPr="00603F87">
              <w:rPr>
                <w:rFonts w:ascii="Times New Roman" w:eastAsia="Calibri" w:hAnsi="Times New Roman" w:cs="Times New Roman"/>
                <w:color w:val="000000"/>
              </w:rPr>
              <w:fldChar w:fldCharType="separate"/>
            </w:r>
            <w:r w:rsidR="00975311" w:rsidRPr="00975311">
              <w:rPr>
                <w:rFonts w:ascii="Times New Roman" w:eastAsia="Calibri" w:hAnsi="Times New Roman" w:cs="Times New Roman"/>
                <w:noProof/>
                <w:color w:val="000000"/>
              </w:rPr>
              <w:t>[4]</w:t>
            </w:r>
            <w:r w:rsidRPr="00603F87">
              <w:rPr>
                <w:rFonts w:ascii="Times New Roman" w:eastAsia="Calibri" w:hAnsi="Times New Roman" w:cs="Times New Roman"/>
                <w:color w:val="000000"/>
              </w:rPr>
              <w:fldChar w:fldCharType="end"/>
            </w:r>
          </w:p>
        </w:tc>
      </w:tr>
      <w:tr w:rsidR="004330C9" w:rsidRPr="00603F87" w:rsidTr="004A0B76">
        <w:trPr>
          <w:trHeight w:val="1315"/>
        </w:trPr>
        <w:tc>
          <w:tcPr>
            <w:tcW w:w="3415" w:type="dxa"/>
            <w:vAlign w:val="center"/>
          </w:tcPr>
          <w:p w:rsidR="004330C9" w:rsidRPr="00603F87" w:rsidRDefault="004330C9" w:rsidP="00C5127F">
            <w:pPr>
              <w:autoSpaceDE w:val="0"/>
              <w:autoSpaceDN w:val="0"/>
              <w:adjustRightInd w:val="0"/>
              <w:spacing w:after="100" w:line="360" w:lineRule="auto"/>
              <w:contextualSpacing/>
              <w:jc w:val="center"/>
              <w:rPr>
                <w:rFonts w:ascii="Times New Roman" w:eastAsia="Calibri" w:hAnsi="Times New Roman" w:cs="Times New Roman"/>
                <w:color w:val="000000"/>
              </w:rPr>
            </w:pPr>
            <w:r w:rsidRPr="00603F87">
              <w:rPr>
                <w:rFonts w:ascii="Times New Roman" w:eastAsia="Calibri" w:hAnsi="Times New Roman" w:cs="Times New Roman"/>
                <w:i/>
                <w:iCs/>
                <w:color w:val="000000"/>
              </w:rPr>
              <w:t xml:space="preserve">Lactobacillus acidophilus, Lactobacillus casei, Lactobacillus lactis, Bifidobacterium bifidum, Bifidobacterium longum </w:t>
            </w:r>
            <w:r w:rsidRPr="00603F87">
              <w:rPr>
                <w:rFonts w:ascii="Times New Roman" w:eastAsia="Calibri" w:hAnsi="Times New Roman" w:cs="Times New Roman"/>
                <w:color w:val="000000"/>
              </w:rPr>
              <w:t xml:space="preserve">and </w:t>
            </w:r>
            <w:r w:rsidRPr="00603F87">
              <w:rPr>
                <w:rFonts w:ascii="Times New Roman" w:eastAsia="Calibri" w:hAnsi="Times New Roman" w:cs="Times New Roman"/>
                <w:i/>
                <w:iCs/>
                <w:color w:val="000000"/>
              </w:rPr>
              <w:t>Bifidobacterium infantis.</w:t>
            </w:r>
          </w:p>
        </w:tc>
        <w:tc>
          <w:tcPr>
            <w:tcW w:w="2970" w:type="dxa"/>
            <w:vAlign w:val="center"/>
          </w:tcPr>
          <w:p w:rsidR="004330C9" w:rsidRPr="00603F87" w:rsidRDefault="004330C9" w:rsidP="00C5127F">
            <w:pPr>
              <w:autoSpaceDE w:val="0"/>
              <w:autoSpaceDN w:val="0"/>
              <w:adjustRightInd w:val="0"/>
              <w:spacing w:after="100" w:line="360" w:lineRule="auto"/>
              <w:contextualSpacing/>
              <w:jc w:val="center"/>
              <w:rPr>
                <w:rFonts w:ascii="Times New Roman" w:eastAsia="Calibri" w:hAnsi="Times New Roman" w:cs="Times New Roman"/>
                <w:color w:val="000000"/>
              </w:rPr>
            </w:pPr>
            <w:r w:rsidRPr="00603F87">
              <w:rPr>
                <w:rFonts w:ascii="Times New Roman" w:eastAsia="Calibri" w:hAnsi="Times New Roman" w:cs="Times New Roman"/>
                <w:color w:val="000000"/>
              </w:rPr>
              <w:t>Improvement urea levels after supplementation with probiotics.</w:t>
            </w:r>
          </w:p>
        </w:tc>
        <w:tc>
          <w:tcPr>
            <w:tcW w:w="3240" w:type="dxa"/>
            <w:vAlign w:val="center"/>
          </w:tcPr>
          <w:p w:rsidR="004330C9" w:rsidRPr="00603F87" w:rsidRDefault="004330C9" w:rsidP="00C5127F">
            <w:pPr>
              <w:autoSpaceDE w:val="0"/>
              <w:autoSpaceDN w:val="0"/>
              <w:adjustRightInd w:val="0"/>
              <w:spacing w:after="100" w:line="360" w:lineRule="auto"/>
              <w:contextualSpacing/>
              <w:jc w:val="center"/>
              <w:rPr>
                <w:rFonts w:ascii="Times New Roman" w:eastAsia="Calibri" w:hAnsi="Times New Roman" w:cs="Times New Roman"/>
                <w:color w:val="000000"/>
              </w:rPr>
            </w:pPr>
            <w:r w:rsidRPr="00603F87">
              <w:rPr>
                <w:rFonts w:ascii="Times New Roman" w:eastAsia="Calibri" w:hAnsi="Times New Roman" w:cs="Times New Roman"/>
                <w:color w:val="000000"/>
              </w:rPr>
              <w:t>Probiotics are able to improve urea levels, exclusively OW/ OB individuals and subjects with high urea levels. Other renal parameters and liver performance were not changed by the probiotics administration.</w:t>
            </w:r>
          </w:p>
        </w:tc>
        <w:tc>
          <w:tcPr>
            <w:tcW w:w="995" w:type="dxa"/>
            <w:vAlign w:val="center"/>
          </w:tcPr>
          <w:p w:rsidR="004330C9" w:rsidRPr="00603F87" w:rsidRDefault="004330C9" w:rsidP="00975311">
            <w:pPr>
              <w:autoSpaceDE w:val="0"/>
              <w:autoSpaceDN w:val="0"/>
              <w:adjustRightInd w:val="0"/>
              <w:spacing w:after="100" w:line="360" w:lineRule="auto"/>
              <w:contextualSpacing/>
              <w:jc w:val="center"/>
              <w:rPr>
                <w:rFonts w:ascii="Times New Roman" w:eastAsia="Calibri" w:hAnsi="Times New Roman" w:cs="Times New Roman"/>
                <w:color w:val="000000"/>
              </w:rPr>
            </w:pPr>
            <w:r w:rsidRPr="00603F87">
              <w:rPr>
                <w:rFonts w:ascii="Times New Roman" w:eastAsia="Calibri" w:hAnsi="Times New Roman" w:cs="Times New Roman"/>
                <w:color w:val="000000"/>
              </w:rPr>
              <w:fldChar w:fldCharType="begin" w:fldLock="1"/>
            </w:r>
            <w:r w:rsidR="00975311">
              <w:rPr>
                <w:rFonts w:ascii="Times New Roman" w:eastAsia="Calibri" w:hAnsi="Times New Roman" w:cs="Times New Roman"/>
                <w:color w:val="000000"/>
              </w:rPr>
              <w:instrText>ADDIN CSL_CITATION {"citationItems":[{"id":"ITEM-1","itemData":{"DOI":"10.1186/s12906-015-0952-5","ISSN":"14726882","PMID":"26654906","abstract":"Background: The beneficial effect of probiotics on renal profile and liver function has been reported among patients with chronic kidney disease and fatty liver respectively. However, its effect on renal profile and liver function among type 2 diabetic individuals has not been fully understood. To investigate the effect of microbial cell preparation on renal profile and liver function tests among type 2 diabetic individuals. Methods: A randomized, double-blind, parallel-group, controlled clinical trial was conducted on a total of 136 type 2 diabetics age 30-70 years old in a teaching hospital in Kuala Lumpur, Malaysia. Subjects were randomly assigned to receive microbial cell preparation (N = 68) or a placebo (N = 68) for 12 weeks. The outcomes measured at baseline, week 6, and week 12 and included changes in renal profile (Sodium, Potassium, Urea, Creatinine, Glomerular Filtration Rate), and liver function tests (Albumin, Total Protein, Alkaline Phosphatase, Alanine Aminotransferase, Aspartate Aminotransferase). Intention to treat (ITT) analysis was performed on all the recruited subjects, while per protocol (PP) analysis was conducted on those who completed the trial with good compliance. Result: The urea levels significantly declined in the probiotic group. Serum urea levels reduced from 4.26 mmol/L to 4.04 mmol/L in Probiotic Group while it increased in Placebo Group from 4.03 mmol/L to 4.24 mmol/L. These changes were significant between groups in ITT analysis (p = 0.018). Other parameters did not change significantly between groups. Conclusion: 12 weeks supplementation with daily dosage of 6 × 1010 Colony Forming Units of multi-strain microbial cell preparation significantly improved urea levels. Trial registration: (Clinical trials: NCT01752803 ).","author":[{"dropping-particle":"","family":"Firouzi","given":"Somayyeh","non-dropping-particle":"","parse-names":false,"suffix":""},{"dropping-particle":"","family":"Mohd-Yusof","given":"Barakatun Nisak","non-dropping-particle":"","parse-names":false,"suffix":""},{"dropping-particle":"","family":"Majid","given":"Hazreen Abd","non-dropping-particle":"","parse-names":false,"suffix":""},{"dropping-particle":"","family":"Ismail","given":"Amin","non-dropping-particle":"","parse-names":false,"suffix":""},{"dropping-particle":"","family":"Kamaruddin","given":"Nor Azmi","non-dropping-particle":"","parse-names":false,"suffix":""}],"container-title":"BMC Complementary and Alternative Medicine","id":"ITEM-1","issue":"1","issued":{"date-parts":[["2015"]]},"page":"1-10","publisher":"BioMed Central","title":"Effect of microbial cell preparation on renal profile and liver function among type 2 diabetics: A randomized controlled trial","type":"article-journal","volume":"15"},"uris":["http://www.mendeley.com/documents/?uuid=dc8c464a-6c83-44f1-ac1d-5e9a135d2647"]}],"mendeley":{"formattedCitation":"&lt;span style=\"baseline\"&gt;[5]&lt;/span&gt;"},"properties":{"noteIndex":0},"schema":"https://github.com/citation-style-language/schema/raw/master/csl-citation.json"}</w:instrText>
            </w:r>
            <w:r w:rsidRPr="00603F87">
              <w:rPr>
                <w:rFonts w:ascii="Times New Roman" w:eastAsia="Calibri" w:hAnsi="Times New Roman" w:cs="Times New Roman"/>
                <w:color w:val="000000"/>
              </w:rPr>
              <w:fldChar w:fldCharType="separate"/>
            </w:r>
            <w:r w:rsidR="00975311" w:rsidRPr="00975311">
              <w:rPr>
                <w:rFonts w:ascii="Times New Roman" w:eastAsia="Calibri" w:hAnsi="Times New Roman" w:cs="Times New Roman"/>
                <w:noProof/>
                <w:color w:val="000000"/>
              </w:rPr>
              <w:t>[5]</w:t>
            </w:r>
            <w:r w:rsidRPr="00603F87">
              <w:rPr>
                <w:rFonts w:ascii="Times New Roman" w:eastAsia="Calibri" w:hAnsi="Times New Roman" w:cs="Times New Roman"/>
                <w:color w:val="000000"/>
              </w:rPr>
              <w:fldChar w:fldCharType="end"/>
            </w:r>
          </w:p>
        </w:tc>
      </w:tr>
      <w:tr w:rsidR="004330C9" w:rsidRPr="00603F87" w:rsidTr="004A0B76">
        <w:trPr>
          <w:trHeight w:val="1315"/>
        </w:trPr>
        <w:tc>
          <w:tcPr>
            <w:tcW w:w="3415" w:type="dxa"/>
            <w:vAlign w:val="center"/>
          </w:tcPr>
          <w:p w:rsidR="004330C9" w:rsidRPr="00603F87" w:rsidRDefault="004330C9" w:rsidP="00C5127F">
            <w:pPr>
              <w:autoSpaceDE w:val="0"/>
              <w:autoSpaceDN w:val="0"/>
              <w:adjustRightInd w:val="0"/>
              <w:spacing w:line="360" w:lineRule="auto"/>
              <w:contextualSpacing/>
              <w:jc w:val="center"/>
              <w:rPr>
                <w:rFonts w:ascii="Times New Roman" w:eastAsia="Calibri" w:hAnsi="Times New Roman" w:cs="Times New Roman"/>
                <w:i/>
                <w:iCs/>
                <w:color w:val="000000"/>
              </w:rPr>
            </w:pPr>
            <w:r w:rsidRPr="00603F87">
              <w:rPr>
                <w:rFonts w:ascii="Times New Roman" w:eastAsia="Calibri" w:hAnsi="Times New Roman" w:cs="Times New Roman"/>
                <w:i/>
                <w:iCs/>
                <w:color w:val="000000"/>
              </w:rPr>
              <w:t xml:space="preserve">B. bifidum A218, B. catenulatum A302, B. longum A101, </w:t>
            </w:r>
            <w:r w:rsidRPr="00603F87">
              <w:rPr>
                <w:rFonts w:ascii="Times New Roman" w:eastAsia="Calibri" w:hAnsi="Times New Roman" w:cs="Times New Roman"/>
                <w:color w:val="000000"/>
              </w:rPr>
              <w:t>and</w:t>
            </w:r>
            <w:r w:rsidRPr="00603F87">
              <w:rPr>
                <w:rFonts w:ascii="Times New Roman" w:eastAsia="Calibri" w:hAnsi="Times New Roman" w:cs="Times New Roman"/>
                <w:i/>
                <w:iCs/>
                <w:color w:val="000000"/>
              </w:rPr>
              <w:t xml:space="preserve"> L. plantarum A87.</w:t>
            </w:r>
          </w:p>
        </w:tc>
        <w:tc>
          <w:tcPr>
            <w:tcW w:w="2970" w:type="dxa"/>
            <w:vAlign w:val="center"/>
          </w:tcPr>
          <w:p w:rsidR="004330C9" w:rsidRPr="00603F87" w:rsidRDefault="004330C9" w:rsidP="00C5127F">
            <w:pPr>
              <w:autoSpaceDE w:val="0"/>
              <w:autoSpaceDN w:val="0"/>
              <w:adjustRightInd w:val="0"/>
              <w:spacing w:line="360" w:lineRule="auto"/>
              <w:contextualSpacing/>
              <w:jc w:val="center"/>
              <w:rPr>
                <w:rFonts w:ascii="Times New Roman" w:eastAsia="Calibri" w:hAnsi="Times New Roman" w:cs="Times New Roman"/>
                <w:color w:val="000000"/>
              </w:rPr>
            </w:pPr>
            <w:r w:rsidRPr="00603F87">
              <w:rPr>
                <w:rFonts w:ascii="Times New Roman" w:eastAsia="Calibri" w:hAnsi="Times New Roman" w:cs="Times New Roman"/>
                <w:color w:val="000000"/>
              </w:rPr>
              <w:t>TNF-α, IL-5, IL-6, and endotoxins levels were decreased significantly. While, IL-10 levels were increased.</w:t>
            </w:r>
          </w:p>
          <w:p w:rsidR="004330C9" w:rsidRPr="00603F87" w:rsidRDefault="004330C9" w:rsidP="00C5127F">
            <w:pPr>
              <w:autoSpaceDE w:val="0"/>
              <w:autoSpaceDN w:val="0"/>
              <w:adjustRightInd w:val="0"/>
              <w:spacing w:line="360" w:lineRule="auto"/>
              <w:contextualSpacing/>
              <w:jc w:val="center"/>
              <w:rPr>
                <w:rFonts w:ascii="Times New Roman" w:eastAsia="Calibri" w:hAnsi="Times New Roman" w:cs="Times New Roman"/>
                <w:color w:val="000000"/>
              </w:rPr>
            </w:pPr>
            <w:r w:rsidRPr="00603F87">
              <w:rPr>
                <w:rFonts w:ascii="Times New Roman" w:eastAsia="Calibri" w:hAnsi="Times New Roman" w:cs="Times New Roman"/>
                <w:color w:val="000000"/>
              </w:rPr>
              <w:t>Residual renal function of patients on PD was preserved after six months-oral probiotics treatment.</w:t>
            </w:r>
          </w:p>
        </w:tc>
        <w:tc>
          <w:tcPr>
            <w:tcW w:w="3240" w:type="dxa"/>
            <w:vAlign w:val="center"/>
          </w:tcPr>
          <w:p w:rsidR="004330C9" w:rsidRPr="00603F87" w:rsidRDefault="004330C9" w:rsidP="00C5127F">
            <w:pPr>
              <w:autoSpaceDE w:val="0"/>
              <w:autoSpaceDN w:val="0"/>
              <w:adjustRightInd w:val="0"/>
              <w:spacing w:line="360" w:lineRule="auto"/>
              <w:contextualSpacing/>
              <w:jc w:val="center"/>
              <w:rPr>
                <w:rFonts w:ascii="Times New Roman" w:eastAsia="Calibri" w:hAnsi="Times New Roman" w:cs="Times New Roman"/>
                <w:color w:val="000000"/>
              </w:rPr>
            </w:pPr>
            <w:r w:rsidRPr="00603F87">
              <w:rPr>
                <w:rFonts w:ascii="Times New Roman" w:eastAsia="Calibri" w:hAnsi="Times New Roman" w:cs="Times New Roman"/>
                <w:color w:val="000000"/>
              </w:rPr>
              <w:t>Endotoxins serum levels were reduced significantly by probiotics. Proinflammatory serum levels of cytokines (IL-10) were raised by proinflammatory cytokines (TNF-α and IL-6) and IL-5.</w:t>
            </w:r>
          </w:p>
          <w:p w:rsidR="004330C9" w:rsidRPr="00603F87" w:rsidRDefault="004330C9" w:rsidP="00C5127F">
            <w:pPr>
              <w:autoSpaceDE w:val="0"/>
              <w:autoSpaceDN w:val="0"/>
              <w:adjustRightInd w:val="0"/>
              <w:spacing w:line="360" w:lineRule="auto"/>
              <w:contextualSpacing/>
              <w:jc w:val="center"/>
              <w:rPr>
                <w:rFonts w:ascii="Times New Roman" w:eastAsia="Calibri" w:hAnsi="Times New Roman" w:cs="Times New Roman"/>
                <w:color w:val="000000"/>
              </w:rPr>
            </w:pPr>
            <w:r w:rsidRPr="00603F87">
              <w:rPr>
                <w:rFonts w:ascii="Times New Roman" w:eastAsia="Calibri" w:hAnsi="Times New Roman" w:cs="Times New Roman"/>
                <w:color w:val="000000"/>
              </w:rPr>
              <w:t>Residual renal function of individuals on PD was kept.</w:t>
            </w:r>
          </w:p>
        </w:tc>
        <w:tc>
          <w:tcPr>
            <w:tcW w:w="995" w:type="dxa"/>
            <w:vAlign w:val="center"/>
          </w:tcPr>
          <w:p w:rsidR="004330C9" w:rsidRPr="00603F87" w:rsidRDefault="004330C9" w:rsidP="00975311">
            <w:pPr>
              <w:autoSpaceDE w:val="0"/>
              <w:autoSpaceDN w:val="0"/>
              <w:adjustRightInd w:val="0"/>
              <w:spacing w:line="360" w:lineRule="auto"/>
              <w:contextualSpacing/>
              <w:jc w:val="center"/>
              <w:rPr>
                <w:rFonts w:ascii="Times New Roman" w:eastAsia="Calibri" w:hAnsi="Times New Roman" w:cs="Times New Roman"/>
                <w:color w:val="000000"/>
              </w:rPr>
            </w:pPr>
            <w:r w:rsidRPr="00603F87">
              <w:rPr>
                <w:rFonts w:ascii="Times New Roman" w:eastAsia="Calibri" w:hAnsi="Times New Roman" w:cs="Times New Roman"/>
                <w:color w:val="000000"/>
              </w:rPr>
              <w:fldChar w:fldCharType="begin" w:fldLock="1"/>
            </w:r>
            <w:r w:rsidR="00975311">
              <w:rPr>
                <w:rFonts w:ascii="Times New Roman" w:eastAsia="Calibri" w:hAnsi="Times New Roman" w:cs="Times New Roman"/>
                <w:color w:val="000000"/>
              </w:rPr>
              <w:instrText>ADDIN CSL_CITATION {"citationItems":[{"id":"ITEM-1","itemData":{"DOI":"10.3920/BM2014.0088","ISSN":"18762891","PMID":"25609654","abstract":"Inflammatory markers such as interleukin (IL)-6 and tumour necrosis factor-alpha (TNF-α) are elevated in dialysis patients and can predict cardiovascular events and all-cause mortality. Endotoxin is an important source and also another marker of inflammation in patients with chronic kidney disease. The aim of this study was to evaluate the impact of oral probiotics on serum levels of endotoxemia and cytokines in peritoneal dialysis (PD) patients. The decline of residual renal function, peritonitis episodes, and cardiovascular events were also recorded. From July 2011 to June 2012, a randomised, double-blind, placebo-controlled trial was conducted in PD patients. The intervention group received one capsule of probiotics containing 109 cfu Bifobacterium bifidum A218, 109 cfu Bifidobacterium catenulatum A302, 109 cfu Bifidobacterium longum A101, and 109 cfu Lactobacillus plantarum A87 daily for six months, while the placebo group received similar capsules containing maltodextrin for the same duration. Levels of serum TNF-α, interferon gamma, IL-5, IL-6, IL-10, IL-17, and endotoxin were measured before and six months after intervention. 39 patients completed the study (21 in the probiotics group and 18 in the placebo group). In patients receiving probiotics, levels of serum TNF-α, IL-5, IL-6, and endotoxin significantly decreased after six months of treatment, while levels of serum IL-10 significantly increased. In contrast, there were no significant changes in levels of serum cytokines and endotoxin in the placebo group after six months. In addition, the residual renal function was preserved in patients receiving probiotics. In conclusion, probiotics could significantly reduce the serum levels of endotoxin, pro-inflammatory cytokines (TNF-α and IL-6), IL-5, increase the serum levels of anti-inflammatory cytokine (IL-10), and preserve residual renal function in PD patients.","author":[{"dropping-particle":"","family":"Wang","given":"I. K.","non-dropping-particle":"","parse-names":false,"suffix":""},{"dropping-particle":"","family":"Wu","given":"Y. Y.","non-dropping-particle":"","parse-names":false,"suffix":""},{"dropping-particle":"","family":"Yang","given":"Y. F.","non-dropping-particle":"","parse-names":false,"suffix":""},{"dropping-particle":"","family":"Ting","given":"I. W.","non-dropping-particle":"","parse-names":false,"suffix":""},{"dropping-particle":"","family":"Lin","given":"C. C.","non-dropping-particle":"","parse-names":false,"suffix":""},{"dropping-particle":"","family":"Yen","given":"T. H.","non-dropping-particle":"","parse-names":false,"suffix":""},{"dropping-particle":"","family":"Chen","given":"J. H.","non-dropping-particle":"","parse-names":false,"suffix":""},{"dropping-particle":"","family":"Wang","given":"C. H.","non-dropping-particle":"","parse-names":false,"suffix":""},{"dropping-particle":"","family":"Huang","given":"C. C.","non-dropping-particle":"","parse-names":false,"suffix":""},{"dropping-particle":"","family":"Lin","given":"H. C.","non-dropping-particle":"","parse-names":false,"suffix":""}],"container-title":"Beneficial Microbes","id":"ITEM-1","issue":"4","issued":{"date-parts":[["2015"]]},"page":"423-430","publisher":"Wageningen Academic Publishers","title":"The effect of probiotics on serum levels of cytokine and endotoxin in peritoneal dialysis patients: A randomised, double-blind, placebo-controlled trial","type":"article-journal","volume":"6"},"uris":["http://www.mendeley.com/documents/?uuid=3ed18e8c-6075-4a33-8c38-169625db612a"]}],"mendeley":{"formattedCitation":"&lt;span style=\"baseline\"&gt;[6]&lt;/span&gt;"},"properties":{"noteIndex":0},"schema":"https://github.com/citation-style-language/schema/raw/master/csl-citation.json"}</w:instrText>
            </w:r>
            <w:r w:rsidRPr="00603F87">
              <w:rPr>
                <w:rFonts w:ascii="Times New Roman" w:eastAsia="Calibri" w:hAnsi="Times New Roman" w:cs="Times New Roman"/>
                <w:color w:val="000000"/>
              </w:rPr>
              <w:fldChar w:fldCharType="separate"/>
            </w:r>
            <w:r w:rsidR="00975311" w:rsidRPr="00975311">
              <w:rPr>
                <w:rFonts w:ascii="Times New Roman" w:eastAsia="Calibri" w:hAnsi="Times New Roman" w:cs="Times New Roman"/>
                <w:noProof/>
                <w:color w:val="000000"/>
              </w:rPr>
              <w:t>[6]</w:t>
            </w:r>
            <w:r w:rsidRPr="00603F87">
              <w:rPr>
                <w:rFonts w:ascii="Times New Roman" w:eastAsia="Calibri" w:hAnsi="Times New Roman" w:cs="Times New Roman"/>
                <w:color w:val="000000"/>
              </w:rPr>
              <w:fldChar w:fldCharType="end"/>
            </w:r>
          </w:p>
        </w:tc>
      </w:tr>
      <w:tr w:rsidR="004330C9" w:rsidRPr="00603F87" w:rsidTr="004A0B76">
        <w:trPr>
          <w:trHeight w:val="1315"/>
        </w:trPr>
        <w:tc>
          <w:tcPr>
            <w:tcW w:w="3415" w:type="dxa"/>
            <w:vAlign w:val="center"/>
          </w:tcPr>
          <w:p w:rsidR="004330C9" w:rsidRPr="00603F87" w:rsidRDefault="004330C9" w:rsidP="00C5127F">
            <w:pPr>
              <w:autoSpaceDE w:val="0"/>
              <w:autoSpaceDN w:val="0"/>
              <w:adjustRightInd w:val="0"/>
              <w:spacing w:line="360" w:lineRule="auto"/>
              <w:contextualSpacing/>
              <w:jc w:val="center"/>
              <w:rPr>
                <w:rFonts w:ascii="Times New Roman" w:eastAsia="Calibri" w:hAnsi="Times New Roman" w:cs="Times New Roman"/>
                <w:i/>
                <w:iCs/>
                <w:color w:val="000000"/>
              </w:rPr>
            </w:pPr>
            <w:r w:rsidRPr="00603F87">
              <w:rPr>
                <w:rFonts w:ascii="Times New Roman" w:eastAsia="Calibri" w:hAnsi="Times New Roman" w:cs="Times New Roman"/>
                <w:i/>
                <w:iCs/>
                <w:color w:val="000000"/>
              </w:rPr>
              <w:t xml:space="preserve">Lactobacillus casei, Lactobacillus cidophilus, Lactobacillus bulgarigus, Lactobacillus rhamnosus, Bifido,bacterium breve, Bifidobacterium longum, Streptococcus thermophilus and fructooligosaccharide </w:t>
            </w:r>
            <w:r w:rsidRPr="00603F87">
              <w:rPr>
                <w:rFonts w:ascii="Times New Roman" w:eastAsia="Calibri" w:hAnsi="Times New Roman" w:cs="Times New Roman"/>
                <w:color w:val="000000"/>
              </w:rPr>
              <w:t>prebiotic agent</w:t>
            </w:r>
            <w:r w:rsidRPr="00603F87">
              <w:rPr>
                <w:rFonts w:ascii="Times New Roman" w:eastAsia="Calibri" w:hAnsi="Times New Roman" w:cs="Times New Roman"/>
                <w:i/>
                <w:iCs/>
                <w:color w:val="000000"/>
              </w:rPr>
              <w:t>.</w:t>
            </w:r>
          </w:p>
        </w:tc>
        <w:tc>
          <w:tcPr>
            <w:tcW w:w="2970" w:type="dxa"/>
            <w:vAlign w:val="center"/>
          </w:tcPr>
          <w:p w:rsidR="004330C9" w:rsidRPr="00603F87" w:rsidRDefault="004330C9" w:rsidP="00C5127F">
            <w:pPr>
              <w:autoSpaceDE w:val="0"/>
              <w:autoSpaceDN w:val="0"/>
              <w:adjustRightInd w:val="0"/>
              <w:spacing w:line="360" w:lineRule="auto"/>
              <w:contextualSpacing/>
              <w:jc w:val="center"/>
              <w:rPr>
                <w:rFonts w:ascii="Times New Roman" w:eastAsia="Calibri" w:hAnsi="Times New Roman" w:cs="Times New Roman"/>
                <w:color w:val="000000"/>
              </w:rPr>
            </w:pPr>
            <w:r w:rsidRPr="00603F87">
              <w:rPr>
                <w:rFonts w:ascii="Times New Roman" w:eastAsia="Calibri" w:hAnsi="Times New Roman" w:cs="Times New Roman"/>
                <w:color w:val="000000"/>
              </w:rPr>
              <w:t>Levels of blood urea nitrogen in CKD patients were reduced.</w:t>
            </w:r>
          </w:p>
        </w:tc>
        <w:tc>
          <w:tcPr>
            <w:tcW w:w="3240" w:type="dxa"/>
            <w:vAlign w:val="center"/>
          </w:tcPr>
          <w:p w:rsidR="004330C9" w:rsidRPr="00603F87" w:rsidRDefault="004330C9" w:rsidP="00C5127F">
            <w:pPr>
              <w:autoSpaceDE w:val="0"/>
              <w:autoSpaceDN w:val="0"/>
              <w:adjustRightInd w:val="0"/>
              <w:spacing w:line="360" w:lineRule="auto"/>
              <w:contextualSpacing/>
              <w:jc w:val="center"/>
              <w:rPr>
                <w:rFonts w:ascii="Times New Roman" w:eastAsia="Calibri" w:hAnsi="Times New Roman" w:cs="Times New Roman"/>
                <w:color w:val="000000"/>
              </w:rPr>
            </w:pPr>
            <w:r w:rsidRPr="00603F87">
              <w:rPr>
                <w:rFonts w:ascii="Times New Roman" w:eastAsia="Calibri" w:hAnsi="Times New Roman" w:cs="Times New Roman"/>
                <w:color w:val="000000"/>
              </w:rPr>
              <w:t>Treatment with symbiotic probiotics for six weeks caused considerable reduction in mean blood urea levels of CKD patients stages 3 and 4 in comparison with controls; impacts were not observed in other renal function indicators.</w:t>
            </w:r>
          </w:p>
        </w:tc>
        <w:tc>
          <w:tcPr>
            <w:tcW w:w="995" w:type="dxa"/>
            <w:vAlign w:val="center"/>
          </w:tcPr>
          <w:p w:rsidR="004330C9" w:rsidRPr="00603F87" w:rsidRDefault="004330C9" w:rsidP="00975311">
            <w:pPr>
              <w:autoSpaceDE w:val="0"/>
              <w:autoSpaceDN w:val="0"/>
              <w:adjustRightInd w:val="0"/>
              <w:spacing w:line="360" w:lineRule="auto"/>
              <w:contextualSpacing/>
              <w:jc w:val="center"/>
              <w:rPr>
                <w:rFonts w:ascii="Times New Roman" w:eastAsia="Calibri" w:hAnsi="Times New Roman" w:cs="Times New Roman"/>
                <w:color w:val="000000"/>
                <w:lang w:bidi="fa-IR"/>
              </w:rPr>
            </w:pPr>
            <w:r w:rsidRPr="00603F87">
              <w:rPr>
                <w:rFonts w:ascii="Times New Roman" w:eastAsia="Calibri" w:hAnsi="Times New Roman" w:cs="Times New Roman"/>
                <w:color w:val="000000"/>
              </w:rPr>
              <w:fldChar w:fldCharType="begin" w:fldLock="1"/>
            </w:r>
            <w:r w:rsidR="00975311">
              <w:rPr>
                <w:rFonts w:ascii="Times New Roman" w:eastAsia="Calibri" w:hAnsi="Times New Roman" w:cs="Times New Roman"/>
                <w:color w:val="000000"/>
              </w:rPr>
              <w:instrText>ADDIN CSL_CITATION {"citationItems":[{"id":"ITEM-1","itemData":{"ISSN":"17358604","PMID":"27903994","abstract":"Introduction. Chronic kidney disease (CKD) is a progressive and irreversible impairment of kidney function; if it progresses to the end-stage of CKD, dialysis or kidney transplant is needed. In general, there are no definitive treatment to slow the progression of CKD. This study aimed to determine the effect of synbiotic supplementations on azotemia in patients with CKD. Materials and Methods. A randomized controlled trial was conducted on 66 patients with CKD (stages 3 and 4). The participants were randomly divided into 2 groups to receive synbiotic supplement, 1000 mg/d, and placebo (2 capsules a day) for 6 weeks. At the beginning and end of the study, blood parameters and kidney function were evaluated. Results. Of the 66 patients studied, 16 patients (24.2%) were women and 50 (75.8%) were men. The mean age and body mass index of the participants were 61 ± 7.65 years and 28.52 ± 4.06 kg/m2, respectively. The level of blood urea nitrogen showed a significant reduction following the intake of synbiotic supplement (from 40.80 ± 22.11 mg/dL to 36.14 ± 20.52 mg/dL, P =.01). Serum creatinine, uric acid, and other indicators of kidney function showed no significant change. Conclusions. The intake of synbiotic supplement could reduce blood urea nitrogen in patients with CKD in stages 3 and 4; however, it had no effect on the other markers of kidney function.","author":[{"dropping-particle":"","family":"Dehghani","given":"Hamideh","non-dropping-particle":"","parse-names":false,"suffix":""},{"dropping-particle":"","family":"Heidari","given":"Fatemeh","non-dropping-particle":"","parse-names":false,"suffix":""},{"dropping-particle":"","family":"Mozaffari-Khosravi","given":"Hassan","non-dropping-particle":"","parse-names":false,"suffix":""},{"dropping-particle":"","family":"Nouri-Majelan","given":"Nader","non-dropping-particle":"","parse-names":false,"suffix":""},{"dropping-particle":"","family":"Dehghani","given":"Ali","non-dropping-particle":"","parse-names":false,"suffix":""}],"container-title":"Iranian Journal of Kidney Diseases","id":"ITEM-1","issue":"6","issued":{"date-parts":[["2016"]]},"page":"351-357","publisher":"Iranian Society of Nephrology","title":"Synbiotic supplementations for Azotemia in patients with chronic kidney disease: A randomized controlled trial","type":"article-journal","volume":"10"},"uris":["http://www.mendeley.com/documents/?uuid=ea4a47c3-d50a-495c-a2e7-2623ac23c31b"]}],"mendeley":{"formattedCitation":"&lt;span style=\"baseline\"&gt;[7]&lt;/span&gt;"},"properties":{"noteIndex":0},"schema":"https://github.com/citation-style-language/schema/raw/master/csl-citation.json"}</w:instrText>
            </w:r>
            <w:r w:rsidRPr="00603F87">
              <w:rPr>
                <w:rFonts w:ascii="Times New Roman" w:eastAsia="Calibri" w:hAnsi="Times New Roman" w:cs="Times New Roman"/>
                <w:color w:val="000000"/>
              </w:rPr>
              <w:fldChar w:fldCharType="separate"/>
            </w:r>
            <w:r w:rsidR="00975311" w:rsidRPr="00975311">
              <w:rPr>
                <w:rFonts w:ascii="Times New Roman" w:eastAsia="Calibri" w:hAnsi="Times New Roman" w:cs="Times New Roman"/>
                <w:noProof/>
                <w:color w:val="000000"/>
              </w:rPr>
              <w:t>[7]</w:t>
            </w:r>
            <w:r w:rsidRPr="00603F87">
              <w:rPr>
                <w:rFonts w:ascii="Times New Roman" w:eastAsia="Calibri" w:hAnsi="Times New Roman" w:cs="Times New Roman"/>
                <w:color w:val="000000"/>
              </w:rPr>
              <w:fldChar w:fldCharType="end"/>
            </w:r>
          </w:p>
        </w:tc>
      </w:tr>
      <w:tr w:rsidR="004330C9" w:rsidRPr="00603F87" w:rsidTr="004A0B76">
        <w:trPr>
          <w:trHeight w:val="1315"/>
        </w:trPr>
        <w:tc>
          <w:tcPr>
            <w:tcW w:w="3415" w:type="dxa"/>
            <w:vAlign w:val="center"/>
          </w:tcPr>
          <w:p w:rsidR="004330C9" w:rsidRPr="00603F87" w:rsidRDefault="004330C9" w:rsidP="00C5127F">
            <w:pPr>
              <w:autoSpaceDE w:val="0"/>
              <w:autoSpaceDN w:val="0"/>
              <w:adjustRightInd w:val="0"/>
              <w:spacing w:line="360" w:lineRule="auto"/>
              <w:contextualSpacing/>
              <w:jc w:val="center"/>
              <w:rPr>
                <w:rFonts w:ascii="Times New Roman" w:eastAsia="Calibri" w:hAnsi="Times New Roman" w:cs="Times New Roman"/>
                <w:i/>
                <w:iCs/>
                <w:color w:val="000000"/>
              </w:rPr>
            </w:pPr>
            <w:r w:rsidRPr="00603F87">
              <w:rPr>
                <w:rFonts w:ascii="Times New Roman" w:eastAsia="Calibri" w:hAnsi="Times New Roman" w:cs="Times New Roman"/>
                <w:color w:val="000000"/>
              </w:rPr>
              <w:t xml:space="preserve">Nine different strains from the </w:t>
            </w:r>
            <w:r w:rsidRPr="00603F87">
              <w:rPr>
                <w:rFonts w:ascii="Times New Roman" w:eastAsia="Calibri" w:hAnsi="Times New Roman" w:cs="Times New Roman"/>
                <w:i/>
                <w:iCs/>
                <w:color w:val="000000"/>
              </w:rPr>
              <w:t xml:space="preserve">Lactobacillus, Bifidobacterium </w:t>
            </w:r>
            <w:r w:rsidRPr="00603F87">
              <w:rPr>
                <w:rFonts w:ascii="Times New Roman" w:eastAsia="Calibri" w:hAnsi="Times New Roman" w:cs="Times New Roman"/>
                <w:color w:val="000000"/>
              </w:rPr>
              <w:t>and</w:t>
            </w:r>
            <w:r w:rsidRPr="00603F87">
              <w:rPr>
                <w:rFonts w:ascii="Times New Roman" w:eastAsia="Calibri" w:hAnsi="Times New Roman" w:cs="Times New Roman"/>
                <w:i/>
                <w:iCs/>
                <w:color w:val="000000"/>
              </w:rPr>
              <w:t xml:space="preserve"> Streptococcus genera. </w:t>
            </w:r>
            <w:r w:rsidRPr="00603F87">
              <w:rPr>
                <w:rFonts w:ascii="Times New Roman" w:eastAsia="Calibri" w:hAnsi="Times New Roman" w:cs="Times New Roman"/>
                <w:color w:val="000000"/>
              </w:rPr>
              <w:t>High molecular weight inulin</w:t>
            </w:r>
            <w:r w:rsidRPr="00603F87">
              <w:rPr>
                <w:rFonts w:ascii="Times New Roman" w:eastAsia="Calibri" w:hAnsi="Times New Roman" w:cs="Times New Roman"/>
                <w:i/>
                <w:iCs/>
                <w:color w:val="000000"/>
              </w:rPr>
              <w:t xml:space="preserve">, </w:t>
            </w:r>
            <w:r w:rsidRPr="00603F87">
              <w:rPr>
                <w:rFonts w:ascii="Times New Roman" w:eastAsia="Calibri" w:hAnsi="Times New Roman" w:cs="Times New Roman"/>
                <w:color w:val="000000"/>
              </w:rPr>
              <w:t>fructooligosaccharides,</w:t>
            </w:r>
            <w:r w:rsidRPr="00603F87">
              <w:rPr>
                <w:rFonts w:ascii="Times New Roman" w:eastAsia="Calibri" w:hAnsi="Times New Roman" w:cs="Times New Roman"/>
                <w:i/>
                <w:iCs/>
                <w:color w:val="000000"/>
              </w:rPr>
              <w:t xml:space="preserve"> </w:t>
            </w:r>
            <w:r w:rsidRPr="00603F87">
              <w:rPr>
                <w:rFonts w:ascii="Times New Roman" w:eastAsia="Calibri" w:hAnsi="Times New Roman" w:cs="Times New Roman"/>
                <w:color w:val="000000"/>
              </w:rPr>
              <w:t>and</w:t>
            </w:r>
            <w:r w:rsidRPr="00603F87">
              <w:rPr>
                <w:rFonts w:ascii="Times New Roman" w:eastAsia="Calibri" w:hAnsi="Times New Roman" w:cs="Times New Roman"/>
                <w:i/>
                <w:iCs/>
                <w:color w:val="000000"/>
              </w:rPr>
              <w:t xml:space="preserve"> </w:t>
            </w:r>
            <w:r w:rsidRPr="00603F87">
              <w:rPr>
                <w:rFonts w:ascii="Times New Roman" w:eastAsia="Calibri" w:hAnsi="Times New Roman" w:cs="Times New Roman"/>
                <w:color w:val="000000"/>
              </w:rPr>
              <w:t>galacto-</w:t>
            </w:r>
            <w:r w:rsidRPr="00603F87">
              <w:rPr>
                <w:rFonts w:ascii="Times New Roman" w:eastAsia="Calibri" w:hAnsi="Times New Roman" w:cs="Times New Roman"/>
                <w:color w:val="000000"/>
              </w:rPr>
              <w:lastRenderedPageBreak/>
              <w:t>oligosaccharides</w:t>
            </w:r>
            <w:r w:rsidRPr="00603F87">
              <w:rPr>
                <w:rFonts w:ascii="Times New Roman" w:eastAsia="Calibri" w:hAnsi="Times New Roman" w:cs="Times New Roman"/>
                <w:i/>
                <w:iCs/>
                <w:color w:val="000000"/>
              </w:rPr>
              <w:t xml:space="preserve">, </w:t>
            </w:r>
            <w:r w:rsidRPr="00603F87">
              <w:rPr>
                <w:rFonts w:ascii="Times New Roman" w:eastAsia="Calibri" w:hAnsi="Times New Roman" w:cs="Times New Roman"/>
                <w:color w:val="000000"/>
              </w:rPr>
              <w:t>and probiotic component.</w:t>
            </w:r>
          </w:p>
        </w:tc>
        <w:tc>
          <w:tcPr>
            <w:tcW w:w="2970" w:type="dxa"/>
            <w:vAlign w:val="center"/>
          </w:tcPr>
          <w:p w:rsidR="004330C9" w:rsidRPr="00603F87" w:rsidRDefault="004330C9" w:rsidP="00C5127F">
            <w:pPr>
              <w:autoSpaceDE w:val="0"/>
              <w:autoSpaceDN w:val="0"/>
              <w:adjustRightInd w:val="0"/>
              <w:spacing w:line="360" w:lineRule="auto"/>
              <w:contextualSpacing/>
              <w:jc w:val="center"/>
              <w:rPr>
                <w:rFonts w:ascii="Times New Roman" w:eastAsia="Calibri" w:hAnsi="Times New Roman" w:cs="Times New Roman"/>
                <w:color w:val="000000"/>
              </w:rPr>
            </w:pPr>
            <w:r w:rsidRPr="00603F87">
              <w:rPr>
                <w:rFonts w:ascii="Times New Roman" w:eastAsia="Calibri" w:hAnsi="Times New Roman" w:cs="Times New Roman"/>
                <w:color w:val="000000"/>
              </w:rPr>
              <w:lastRenderedPageBreak/>
              <w:t>PCS serum levels were reduced significantly by symbiotic treatment.</w:t>
            </w:r>
          </w:p>
          <w:p w:rsidR="004330C9" w:rsidRPr="00603F87" w:rsidRDefault="004330C9" w:rsidP="00C5127F">
            <w:pPr>
              <w:autoSpaceDE w:val="0"/>
              <w:autoSpaceDN w:val="0"/>
              <w:adjustRightInd w:val="0"/>
              <w:spacing w:line="360" w:lineRule="auto"/>
              <w:contextualSpacing/>
              <w:jc w:val="center"/>
              <w:rPr>
                <w:rFonts w:ascii="Times New Roman" w:eastAsia="Calibri" w:hAnsi="Times New Roman" w:cs="Times New Roman"/>
                <w:color w:val="000000"/>
              </w:rPr>
            </w:pPr>
            <w:r w:rsidRPr="00603F87">
              <w:rPr>
                <w:rFonts w:ascii="Times New Roman" w:eastAsia="Calibri" w:hAnsi="Times New Roman" w:cs="Times New Roman"/>
                <w:color w:val="000000"/>
              </w:rPr>
              <w:lastRenderedPageBreak/>
              <w:t>Additionally, IS levels in moderate to severe CKD patients had less reduction.</w:t>
            </w:r>
          </w:p>
        </w:tc>
        <w:tc>
          <w:tcPr>
            <w:tcW w:w="3240" w:type="dxa"/>
            <w:vAlign w:val="center"/>
          </w:tcPr>
          <w:p w:rsidR="004330C9" w:rsidRPr="00603F87" w:rsidRDefault="004330C9" w:rsidP="00C5127F">
            <w:pPr>
              <w:autoSpaceDE w:val="0"/>
              <w:autoSpaceDN w:val="0"/>
              <w:adjustRightInd w:val="0"/>
              <w:spacing w:line="360" w:lineRule="auto"/>
              <w:contextualSpacing/>
              <w:jc w:val="center"/>
              <w:rPr>
                <w:rFonts w:ascii="Times New Roman" w:eastAsia="Calibri" w:hAnsi="Times New Roman" w:cs="Times New Roman"/>
                <w:color w:val="000000"/>
              </w:rPr>
            </w:pPr>
            <w:r w:rsidRPr="00603F87">
              <w:rPr>
                <w:rFonts w:ascii="Times New Roman" w:eastAsia="Calibri" w:hAnsi="Times New Roman" w:cs="Times New Roman"/>
                <w:color w:val="000000"/>
              </w:rPr>
              <w:lastRenderedPageBreak/>
              <w:t>Symbiotic treatment caused statistically remarkable and potentially clinically relevant decreases in IS and PCS serum levels.</w:t>
            </w:r>
          </w:p>
        </w:tc>
        <w:tc>
          <w:tcPr>
            <w:tcW w:w="995" w:type="dxa"/>
            <w:vAlign w:val="center"/>
          </w:tcPr>
          <w:p w:rsidR="004330C9" w:rsidRPr="00603F87" w:rsidRDefault="004330C9" w:rsidP="00975311">
            <w:pPr>
              <w:autoSpaceDE w:val="0"/>
              <w:autoSpaceDN w:val="0"/>
              <w:adjustRightInd w:val="0"/>
              <w:spacing w:line="360" w:lineRule="auto"/>
              <w:contextualSpacing/>
              <w:jc w:val="center"/>
              <w:rPr>
                <w:rFonts w:ascii="Times New Roman" w:eastAsia="Calibri" w:hAnsi="Times New Roman" w:cs="Times New Roman"/>
                <w:color w:val="000000"/>
              </w:rPr>
            </w:pPr>
            <w:r w:rsidRPr="00603F87">
              <w:rPr>
                <w:rFonts w:ascii="Times New Roman" w:eastAsia="Calibri" w:hAnsi="Times New Roman" w:cs="Times New Roman"/>
                <w:color w:val="000000"/>
              </w:rPr>
              <w:fldChar w:fldCharType="begin" w:fldLock="1"/>
            </w:r>
            <w:r w:rsidR="00975311">
              <w:rPr>
                <w:rFonts w:ascii="Times New Roman" w:eastAsia="Calibri" w:hAnsi="Times New Roman" w:cs="Times New Roman"/>
                <w:color w:val="000000"/>
              </w:rPr>
              <w:instrText>ADDIN CSL_CITATION {"citationItems":[{"id":"ITEM-1","itemData":{"DOI":"10.3390/nu13124481","ISSN":"20726643","PMID":"34960037","abstract":"Synbiotics have emerged as a therapeutic strategy for modulating the gut microbiome and targeting novel cardiovascular risk factors, including uremic toxins indoxyl sulfate (IS) and p-cresyl sulfate (PCS). This study aims to evaluate the feasibility of a trial of long-term synbiotic supplemen-tation in adults with stage 3–4 chronic kidney disease (CKD). Adult participants with CKD and estimated glomerular filtration rate (eGFR) of 15–60 mL/min/1.73 m2 ) were recruited between April 2017 and August 2018 to a feasibility, double-blind, placebo-controlled, randomized trial of synbiotic therapy or matched identical placebo for 12 months. The primary outcomes were recruitment and retention rates as well as acceptability of the intervention. Secondary outcomes were treatment adherence and dietary intake. Exploratory outcomes were evaluation of the cardiovascular structure and function, serum IS and PCS, stool microbiota profile, kidney function, blood pressure, and lipid profile. Of 166 potentially eligible patients, 68 (41%) were recruited into the trial (synbiotic n = 35, placebo n = 33). Synbiotic and placebo groups had acceptable and comparable 12-month retention rates (80% versus 85%, respectively, p = 0.60). Synbiotic supplementation altered the stool micro-biome with an enrichment of Bifidobacterium and Blautia spp., resulting in a 3.14 mL/min/1.73 m2 (95% confidence interval (CI), −6.23 to −0.06 mL/min/1.73 m2, p &lt; 0.01) reduction in eGFR and a 20.8 µmol/L (95% CI, 2.97 to 38.5 µmol/L, p &lt; 0.01) increase in serum creatinine concentration. No between-group differences were observed in any of the other secondary or exploratory outcomes. Long-term synbiotic supplementation was feasible and acceptable to patients with CKD, and it modified the gastrointestinal microbiome. However, the reduction in kidney function with synbiotics warrants further investigation.","author":[{"dropping-particle":"","family":"McFarlane","given":"Catherine","non-dropping-particle":"","parse-names":false,"suffix":""},{"dropping-particle":"","family":"Krishnasamy","given":"Rathika","non-dropping-particle":"","parse-names":false,"suffix":""},{"dropping-particle":"","family":"Stanton","given":"Tony","non-dropping-particle":"","parse-names":false,"suffix":""},{"dropping-particle":"","family":"Savill","given":"Emma","non-dropping-particle":"","parse-names":false,"suffix":""},{"dropping-particle":"","family":"Snelson","given":"Matthew","non-dropping-particle":"","parse-names":false,"suffix":""},{"dropping-particle":"","family":"Mihala","given":"Gabor","non-dropping-particle":"","parse-names":false,"suffix":""},{"dropping-particle":"","family":"Kelly","given":"Jaimon T.","non-dropping-particle":"","parse-names":false,"suffix":""},{"dropping-particle":"","family":"Morrison","given":"Mark","non-dropping-particle":"","parse-names":false,"suffix":""},{"dropping-particle":"","family":"Johnson","given":"David W.","non-dropping-particle":"","parse-names":false,"suffix":""},{"dropping-particle":"","family":"Campbell","given":"Katrina L.","non-dropping-particle":"","parse-names":false,"suffix":""}],"container-title":"Nutrients","id":"ITEM-1","issue":"12","issued":{"date-parts":[["2021"]]},"page":"223-231","publisher":"Am Soc Nephrol","title":"Synbiotics easing renal failure by improving gut microbiology ii (Synergy ii): A feasibility randomized controlled trial","type":"article-journal","volume":"13"},"uris":["http://www.mendeley.com/documents/?uuid=c64e297c-1216-43ba-a87f-ff0f0e4f7c2f"]}],"mendeley":{"formattedCitation":"&lt;span style=\"baseline\"&gt;[8]&lt;/span&gt;"},"properties":{"noteIndex":0},"schema":"https://github.com/citation-style-language/schema/raw/master/csl-citation.json"}</w:instrText>
            </w:r>
            <w:r w:rsidRPr="00603F87">
              <w:rPr>
                <w:rFonts w:ascii="Times New Roman" w:eastAsia="Calibri" w:hAnsi="Times New Roman" w:cs="Times New Roman"/>
                <w:color w:val="000000"/>
              </w:rPr>
              <w:fldChar w:fldCharType="separate"/>
            </w:r>
            <w:r w:rsidR="00975311" w:rsidRPr="00975311">
              <w:rPr>
                <w:rFonts w:ascii="Times New Roman" w:eastAsia="Calibri" w:hAnsi="Times New Roman" w:cs="Times New Roman"/>
                <w:noProof/>
                <w:color w:val="000000"/>
              </w:rPr>
              <w:t>[8]</w:t>
            </w:r>
            <w:r w:rsidRPr="00603F87">
              <w:rPr>
                <w:rFonts w:ascii="Times New Roman" w:eastAsia="Calibri" w:hAnsi="Times New Roman" w:cs="Times New Roman"/>
                <w:color w:val="000000"/>
              </w:rPr>
              <w:fldChar w:fldCharType="end"/>
            </w:r>
          </w:p>
        </w:tc>
      </w:tr>
    </w:tbl>
    <w:p w:rsidR="00C5127F" w:rsidRPr="00C5127F" w:rsidRDefault="00C5127F" w:rsidP="00FE2160">
      <w:pPr>
        <w:pBdr>
          <w:top w:val="single" w:sz="4" w:space="0" w:color="auto"/>
        </w:pBdr>
        <w:spacing w:after="160" w:line="360" w:lineRule="auto"/>
        <w:contextualSpacing/>
        <w:jc w:val="both"/>
        <w:rPr>
          <w:rFonts w:ascii="Times New Roman" w:eastAsia="Calibri" w:hAnsi="Times New Roman" w:cs="Times New Roman"/>
          <w:sz w:val="20"/>
          <w:szCs w:val="20"/>
          <w:lang w:bidi="fa-IR"/>
        </w:rPr>
      </w:pPr>
      <w:r w:rsidRPr="00C5127F">
        <w:rPr>
          <w:rFonts w:ascii="Times New Roman" w:eastAsia="Calibri" w:hAnsi="Times New Roman" w:cs="Times New Roman"/>
          <w:color w:val="000000"/>
          <w:sz w:val="20"/>
          <w:szCs w:val="20"/>
          <w:lang w:bidi="fa-IR"/>
        </w:rPr>
        <w:lastRenderedPageBreak/>
        <w:t>LcS: Lactobacillus casei Shirota; PCS: p-cresyl sulfate; IS: indoxyl sulfate; OW: overweight; OB: obese; PD: peritoneal dialysis. CKD: chronic kidney disease.</w:t>
      </w:r>
    </w:p>
    <w:p w:rsidR="00FE2160" w:rsidRDefault="00FE2160">
      <w:r>
        <w:br w:type="page"/>
      </w:r>
    </w:p>
    <w:p w:rsidR="00FE2160" w:rsidRPr="00FE2160" w:rsidRDefault="00FE2160" w:rsidP="00BC463D">
      <w:pPr>
        <w:widowControl w:val="0"/>
        <w:autoSpaceDE w:val="0"/>
        <w:autoSpaceDN w:val="0"/>
        <w:adjustRightInd w:val="0"/>
        <w:spacing w:line="240" w:lineRule="auto"/>
        <w:ind w:left="640" w:hanging="640"/>
        <w:jc w:val="both"/>
        <w:rPr>
          <w:rFonts w:ascii="Times New Roman" w:hAnsi="Times New Roman" w:cs="Times New Roman"/>
          <w:b/>
          <w:bCs/>
          <w:noProof/>
          <w:sz w:val="24"/>
          <w:szCs w:val="24"/>
        </w:rPr>
      </w:pPr>
      <w:r w:rsidRPr="00FE2160">
        <w:rPr>
          <w:rFonts w:ascii="Times New Roman" w:hAnsi="Times New Roman" w:cs="Times New Roman"/>
          <w:b/>
          <w:bCs/>
          <w:noProof/>
          <w:sz w:val="24"/>
          <w:szCs w:val="24"/>
        </w:rPr>
        <w:lastRenderedPageBreak/>
        <w:t>References:</w:t>
      </w:r>
    </w:p>
    <w:p w:rsidR="00BC463D" w:rsidRPr="00F01B9C" w:rsidRDefault="00FE2160" w:rsidP="00FE2160">
      <w:pPr>
        <w:widowControl w:val="0"/>
        <w:autoSpaceDE w:val="0"/>
        <w:autoSpaceDN w:val="0"/>
        <w:adjustRightInd w:val="0"/>
        <w:spacing w:line="240" w:lineRule="auto"/>
        <w:ind w:left="640" w:hanging="640"/>
        <w:jc w:val="both"/>
        <w:rPr>
          <w:rFonts w:ascii="Times New Roman" w:hAnsi="Times New Roman" w:cs="Times New Roman"/>
          <w:noProof/>
          <w:sz w:val="24"/>
          <w:szCs w:val="24"/>
        </w:rPr>
      </w:pPr>
      <w:r>
        <w:rPr>
          <w:rFonts w:ascii="Times New Roman" w:hAnsi="Times New Roman" w:cs="Times New Roman"/>
          <w:noProof/>
          <w:sz w:val="24"/>
          <w:szCs w:val="24"/>
        </w:rPr>
        <w:t>1</w:t>
      </w:r>
      <w:r w:rsidR="00BC463D" w:rsidRPr="00F01B9C">
        <w:rPr>
          <w:rFonts w:ascii="Times New Roman" w:hAnsi="Times New Roman" w:cs="Times New Roman"/>
          <w:noProof/>
          <w:sz w:val="24"/>
          <w:szCs w:val="24"/>
        </w:rPr>
        <w:t xml:space="preserve">. </w:t>
      </w:r>
      <w:r w:rsidR="00BC463D" w:rsidRPr="00F01B9C">
        <w:rPr>
          <w:rFonts w:ascii="Times New Roman" w:hAnsi="Times New Roman" w:cs="Times New Roman"/>
          <w:noProof/>
          <w:sz w:val="24"/>
          <w:szCs w:val="24"/>
        </w:rPr>
        <w:tab/>
        <w:t xml:space="preserve">Alatriste PVM, Arronte RU, Espinosa COG, Cuevas MLAE. Effect of probiotics on human blood urea levels in patients with chronic renal failure. Nutr Hosp. 2014;29(3):582–90. </w:t>
      </w:r>
    </w:p>
    <w:p w:rsidR="00BC463D" w:rsidRPr="00F01B9C" w:rsidRDefault="00FE2160" w:rsidP="00FE2160">
      <w:pPr>
        <w:widowControl w:val="0"/>
        <w:autoSpaceDE w:val="0"/>
        <w:autoSpaceDN w:val="0"/>
        <w:adjustRightInd w:val="0"/>
        <w:spacing w:line="240" w:lineRule="auto"/>
        <w:ind w:left="640" w:hanging="640"/>
        <w:jc w:val="both"/>
        <w:rPr>
          <w:rFonts w:ascii="Times New Roman" w:hAnsi="Times New Roman" w:cs="Times New Roman"/>
          <w:noProof/>
          <w:sz w:val="24"/>
          <w:szCs w:val="24"/>
        </w:rPr>
      </w:pPr>
      <w:r>
        <w:rPr>
          <w:rFonts w:ascii="Times New Roman" w:hAnsi="Times New Roman" w:cs="Times New Roman"/>
          <w:noProof/>
          <w:sz w:val="24"/>
          <w:szCs w:val="24"/>
        </w:rPr>
        <w:t>2</w:t>
      </w:r>
      <w:r w:rsidR="00BC463D" w:rsidRPr="00F01B9C">
        <w:rPr>
          <w:rFonts w:ascii="Times New Roman" w:hAnsi="Times New Roman" w:cs="Times New Roman"/>
          <w:noProof/>
          <w:sz w:val="24"/>
          <w:szCs w:val="24"/>
        </w:rPr>
        <w:t xml:space="preserve">. </w:t>
      </w:r>
      <w:r w:rsidR="00BC463D" w:rsidRPr="00F01B9C">
        <w:rPr>
          <w:rFonts w:ascii="Times New Roman" w:hAnsi="Times New Roman" w:cs="Times New Roman"/>
          <w:noProof/>
          <w:sz w:val="24"/>
          <w:szCs w:val="24"/>
        </w:rPr>
        <w:tab/>
        <w:t xml:space="preserve">Cruz-Mora J, Martínez-Hernández NE, Martín del Campo-López F, Viramontes-Hörner D, Vizmanos-Lamotte B, Muñoz-Valle JF, et al. Effects of a Symbiotic on Gut Microbiota in Mexican Patients With End-Stage Renal Disease. J Ren Nutr. 2014;24(5):330–5. </w:t>
      </w:r>
    </w:p>
    <w:p w:rsidR="00BC463D" w:rsidRPr="00F01B9C" w:rsidRDefault="00FE2160" w:rsidP="00FE2160">
      <w:pPr>
        <w:widowControl w:val="0"/>
        <w:autoSpaceDE w:val="0"/>
        <w:autoSpaceDN w:val="0"/>
        <w:adjustRightInd w:val="0"/>
        <w:spacing w:line="240" w:lineRule="auto"/>
        <w:ind w:left="640" w:hanging="640"/>
        <w:jc w:val="both"/>
        <w:rPr>
          <w:rFonts w:ascii="Times New Roman" w:hAnsi="Times New Roman" w:cs="Times New Roman"/>
          <w:noProof/>
          <w:sz w:val="24"/>
          <w:szCs w:val="24"/>
        </w:rPr>
      </w:pPr>
      <w:r>
        <w:rPr>
          <w:rFonts w:ascii="Times New Roman" w:hAnsi="Times New Roman" w:cs="Times New Roman"/>
          <w:noProof/>
          <w:sz w:val="24"/>
          <w:szCs w:val="24"/>
        </w:rPr>
        <w:t>3</w:t>
      </w:r>
      <w:r w:rsidR="00BC463D" w:rsidRPr="00F01B9C">
        <w:rPr>
          <w:rFonts w:ascii="Times New Roman" w:hAnsi="Times New Roman" w:cs="Times New Roman"/>
          <w:noProof/>
          <w:sz w:val="24"/>
          <w:szCs w:val="24"/>
        </w:rPr>
        <w:t xml:space="preserve">. </w:t>
      </w:r>
      <w:r w:rsidR="00BC463D" w:rsidRPr="00F01B9C">
        <w:rPr>
          <w:rFonts w:ascii="Times New Roman" w:hAnsi="Times New Roman" w:cs="Times New Roman"/>
          <w:noProof/>
          <w:sz w:val="24"/>
          <w:szCs w:val="24"/>
        </w:rPr>
        <w:tab/>
        <w:t xml:space="preserve">Guida B, Germanò R, Trio R, Russo D, Memoli B, Grumetto L, et al. Effect of short-term synbiotic treatment on plasma p-cresol levels in patients with chronic renal failure: A randomized clinical trial. Nutr Metab Cardiovasc Dis. 2014;24(9):1043–9. </w:t>
      </w:r>
    </w:p>
    <w:p w:rsidR="00BC463D" w:rsidRPr="00F01B9C" w:rsidRDefault="00FE2160" w:rsidP="00FE2160">
      <w:pPr>
        <w:widowControl w:val="0"/>
        <w:autoSpaceDE w:val="0"/>
        <w:autoSpaceDN w:val="0"/>
        <w:adjustRightInd w:val="0"/>
        <w:spacing w:line="240" w:lineRule="auto"/>
        <w:ind w:left="640" w:hanging="640"/>
        <w:jc w:val="both"/>
        <w:rPr>
          <w:rFonts w:ascii="Times New Roman" w:hAnsi="Times New Roman" w:cs="Times New Roman"/>
          <w:noProof/>
          <w:sz w:val="24"/>
          <w:szCs w:val="24"/>
        </w:rPr>
      </w:pPr>
      <w:r>
        <w:rPr>
          <w:rFonts w:ascii="Times New Roman" w:hAnsi="Times New Roman" w:cs="Times New Roman"/>
          <w:noProof/>
          <w:sz w:val="24"/>
          <w:szCs w:val="24"/>
        </w:rPr>
        <w:t>4</w:t>
      </w:r>
      <w:r w:rsidR="00BC463D" w:rsidRPr="00F01B9C">
        <w:rPr>
          <w:rFonts w:ascii="Times New Roman" w:hAnsi="Times New Roman" w:cs="Times New Roman"/>
          <w:noProof/>
          <w:sz w:val="24"/>
          <w:szCs w:val="24"/>
        </w:rPr>
        <w:t xml:space="preserve">. </w:t>
      </w:r>
      <w:r w:rsidR="00BC463D" w:rsidRPr="00F01B9C">
        <w:rPr>
          <w:rFonts w:ascii="Times New Roman" w:hAnsi="Times New Roman" w:cs="Times New Roman"/>
          <w:noProof/>
          <w:sz w:val="24"/>
          <w:szCs w:val="24"/>
        </w:rPr>
        <w:tab/>
        <w:t xml:space="preserve">Natarajan R, Pechenyak B, Vyas U, Ranganathan P, Weinberg A, Liang P, et al. Randomized Controlled Trial of Strain-Specific Probiotic Formulation (Renadyl) in Dialysis Patients. Biomed Res Int. 2014;2014. </w:t>
      </w:r>
    </w:p>
    <w:p w:rsidR="00BC463D" w:rsidRPr="00F01B9C" w:rsidRDefault="00FE2160" w:rsidP="00FE2160">
      <w:pPr>
        <w:widowControl w:val="0"/>
        <w:autoSpaceDE w:val="0"/>
        <w:autoSpaceDN w:val="0"/>
        <w:adjustRightInd w:val="0"/>
        <w:spacing w:line="240" w:lineRule="auto"/>
        <w:ind w:left="640" w:hanging="640"/>
        <w:jc w:val="both"/>
        <w:rPr>
          <w:rFonts w:ascii="Times New Roman" w:hAnsi="Times New Roman" w:cs="Times New Roman"/>
          <w:noProof/>
          <w:sz w:val="24"/>
          <w:szCs w:val="24"/>
        </w:rPr>
      </w:pPr>
      <w:r>
        <w:rPr>
          <w:rFonts w:ascii="Times New Roman" w:hAnsi="Times New Roman" w:cs="Times New Roman"/>
          <w:noProof/>
          <w:sz w:val="24"/>
          <w:szCs w:val="24"/>
        </w:rPr>
        <w:t>5</w:t>
      </w:r>
      <w:r w:rsidR="00BC463D" w:rsidRPr="00F01B9C">
        <w:rPr>
          <w:rFonts w:ascii="Times New Roman" w:hAnsi="Times New Roman" w:cs="Times New Roman"/>
          <w:noProof/>
          <w:sz w:val="24"/>
          <w:szCs w:val="24"/>
        </w:rPr>
        <w:t xml:space="preserve">. </w:t>
      </w:r>
      <w:r w:rsidR="00BC463D" w:rsidRPr="00F01B9C">
        <w:rPr>
          <w:rFonts w:ascii="Times New Roman" w:hAnsi="Times New Roman" w:cs="Times New Roman"/>
          <w:noProof/>
          <w:sz w:val="24"/>
          <w:szCs w:val="24"/>
        </w:rPr>
        <w:tab/>
        <w:t xml:space="preserve">Firouzi S, Mohd-Yusof BN, Majid HA, Ismail A, Kamaruddin NA. Effect of microbial cell preparation on renal profile and liver function among type 2 diabetics: A randomized controlled trial. BMC Complement Altern Med. 2015;15(1):1–10. </w:t>
      </w:r>
    </w:p>
    <w:p w:rsidR="00FE2160" w:rsidRPr="00F01B9C" w:rsidRDefault="00FE2160" w:rsidP="00FE2160">
      <w:pPr>
        <w:widowControl w:val="0"/>
        <w:autoSpaceDE w:val="0"/>
        <w:autoSpaceDN w:val="0"/>
        <w:adjustRightInd w:val="0"/>
        <w:spacing w:line="240" w:lineRule="auto"/>
        <w:ind w:left="640" w:hanging="640"/>
        <w:jc w:val="both"/>
        <w:rPr>
          <w:rFonts w:ascii="Times New Roman" w:hAnsi="Times New Roman" w:cs="Times New Roman"/>
          <w:noProof/>
          <w:sz w:val="24"/>
          <w:szCs w:val="24"/>
        </w:rPr>
      </w:pPr>
      <w:r>
        <w:rPr>
          <w:rFonts w:ascii="Times New Roman" w:hAnsi="Times New Roman" w:cs="Times New Roman"/>
          <w:noProof/>
          <w:sz w:val="24"/>
          <w:szCs w:val="24"/>
        </w:rPr>
        <w:t>6</w:t>
      </w:r>
      <w:r w:rsidRPr="00F01B9C">
        <w:rPr>
          <w:rFonts w:ascii="Times New Roman" w:hAnsi="Times New Roman" w:cs="Times New Roman"/>
          <w:noProof/>
          <w:sz w:val="24"/>
          <w:szCs w:val="24"/>
        </w:rPr>
        <w:t xml:space="preserve">. </w:t>
      </w:r>
      <w:r w:rsidRPr="00F01B9C">
        <w:rPr>
          <w:rFonts w:ascii="Times New Roman" w:hAnsi="Times New Roman" w:cs="Times New Roman"/>
          <w:noProof/>
          <w:sz w:val="24"/>
          <w:szCs w:val="24"/>
        </w:rPr>
        <w:tab/>
        <w:t xml:space="preserve">Wang IK, Wu YY, Yang YF, Ting IW, Lin CC, Yen TH, et al. The effect of probiotics on serum levels of cytokine and endotoxin in peritoneal dialysis patients: A randomised, double-blind, placebo-controlled trial. Benef Microbes. 2015;6(4):423–30. </w:t>
      </w:r>
    </w:p>
    <w:p w:rsidR="00BC463D" w:rsidRPr="00F01B9C" w:rsidRDefault="00FE2160" w:rsidP="00FE2160">
      <w:pPr>
        <w:widowControl w:val="0"/>
        <w:autoSpaceDE w:val="0"/>
        <w:autoSpaceDN w:val="0"/>
        <w:adjustRightInd w:val="0"/>
        <w:spacing w:line="240" w:lineRule="auto"/>
        <w:ind w:left="640" w:hanging="640"/>
        <w:jc w:val="both"/>
        <w:rPr>
          <w:rFonts w:ascii="Times New Roman" w:hAnsi="Times New Roman" w:cs="Times New Roman"/>
          <w:noProof/>
          <w:sz w:val="24"/>
          <w:szCs w:val="24"/>
        </w:rPr>
      </w:pPr>
      <w:r>
        <w:rPr>
          <w:rFonts w:ascii="Times New Roman" w:hAnsi="Times New Roman" w:cs="Times New Roman"/>
          <w:noProof/>
          <w:sz w:val="24"/>
          <w:szCs w:val="24"/>
        </w:rPr>
        <w:t>7</w:t>
      </w:r>
      <w:r w:rsidR="00BC463D" w:rsidRPr="00F01B9C">
        <w:rPr>
          <w:rFonts w:ascii="Times New Roman" w:hAnsi="Times New Roman" w:cs="Times New Roman"/>
          <w:noProof/>
          <w:sz w:val="24"/>
          <w:szCs w:val="24"/>
        </w:rPr>
        <w:t xml:space="preserve">. </w:t>
      </w:r>
      <w:r w:rsidR="00BC463D" w:rsidRPr="00F01B9C">
        <w:rPr>
          <w:rFonts w:ascii="Times New Roman" w:hAnsi="Times New Roman" w:cs="Times New Roman"/>
          <w:noProof/>
          <w:sz w:val="24"/>
          <w:szCs w:val="24"/>
        </w:rPr>
        <w:tab/>
        <w:t xml:space="preserve">Dehghani H, Heidari F, Mozaffari-Khosravi H, Nouri-Majelan N, Dehghani A. Synbiotic supplementations for Azotemia in patients with chronic kidney disease: A randomized controlled trial. Iran J Kidney Dis. 2016;10(6):351–7. </w:t>
      </w:r>
    </w:p>
    <w:p w:rsidR="00FE4A15" w:rsidRPr="00F01B9C" w:rsidRDefault="00FE2160" w:rsidP="00FE2160">
      <w:pPr>
        <w:widowControl w:val="0"/>
        <w:autoSpaceDE w:val="0"/>
        <w:autoSpaceDN w:val="0"/>
        <w:adjustRightInd w:val="0"/>
        <w:spacing w:line="240" w:lineRule="auto"/>
        <w:ind w:left="640" w:hanging="640"/>
        <w:jc w:val="both"/>
        <w:rPr>
          <w:rFonts w:ascii="Times New Roman" w:hAnsi="Times New Roman" w:cs="Times New Roman"/>
          <w:noProof/>
          <w:sz w:val="24"/>
          <w:szCs w:val="24"/>
        </w:rPr>
      </w:pPr>
      <w:r>
        <w:rPr>
          <w:rFonts w:ascii="Times New Roman" w:hAnsi="Times New Roman" w:cs="Times New Roman"/>
          <w:noProof/>
          <w:sz w:val="24"/>
          <w:szCs w:val="24"/>
        </w:rPr>
        <w:t>8</w:t>
      </w:r>
      <w:r w:rsidR="00FE4A15" w:rsidRPr="00F01B9C">
        <w:rPr>
          <w:rFonts w:ascii="Times New Roman" w:hAnsi="Times New Roman" w:cs="Times New Roman"/>
          <w:noProof/>
          <w:sz w:val="24"/>
          <w:szCs w:val="24"/>
        </w:rPr>
        <w:t xml:space="preserve">. </w:t>
      </w:r>
      <w:r w:rsidR="00FE4A15" w:rsidRPr="00F01B9C">
        <w:rPr>
          <w:rFonts w:ascii="Times New Roman" w:hAnsi="Times New Roman" w:cs="Times New Roman"/>
          <w:noProof/>
          <w:sz w:val="24"/>
          <w:szCs w:val="24"/>
        </w:rPr>
        <w:tab/>
        <w:t xml:space="preserve">McFarlane C, Krishnasamy R, Stanton T, Savill E, Snelson M, Mihala G, et al. Synbiotics easing renal failure by improving gut microbiology ii (Synergy ii): A feasibility randomized controlled trial. Nutrients. 2021;13(12):223–31. </w:t>
      </w:r>
    </w:p>
    <w:p w:rsidR="00BC463D" w:rsidRDefault="00BC463D" w:rsidP="00FE2160">
      <w:pPr>
        <w:jc w:val="both"/>
      </w:pPr>
    </w:p>
    <w:sectPr w:rsidR="00BC463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24BB" w:rsidRDefault="004F24BB" w:rsidP="00C50395">
      <w:pPr>
        <w:spacing w:after="0" w:line="240" w:lineRule="auto"/>
      </w:pPr>
      <w:r>
        <w:separator/>
      </w:r>
    </w:p>
  </w:endnote>
  <w:endnote w:type="continuationSeparator" w:id="0">
    <w:p w:rsidR="004F24BB" w:rsidRDefault="004F24BB" w:rsidP="00C503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7656299"/>
      <w:docPartObj>
        <w:docPartGallery w:val="Page Numbers (Bottom of Page)"/>
        <w:docPartUnique/>
      </w:docPartObj>
    </w:sdtPr>
    <w:sdtEndPr>
      <w:rPr>
        <w:noProof/>
      </w:rPr>
    </w:sdtEndPr>
    <w:sdtContent>
      <w:p w:rsidR="00C50395" w:rsidRDefault="00C50395">
        <w:pPr>
          <w:pStyle w:val="Footer"/>
          <w:jc w:val="center"/>
        </w:pPr>
        <w:r>
          <w:fldChar w:fldCharType="begin"/>
        </w:r>
        <w:r>
          <w:instrText xml:space="preserve"> PAGE   \* MERGEFORMAT </w:instrText>
        </w:r>
        <w:r>
          <w:fldChar w:fldCharType="separate"/>
        </w:r>
        <w:r w:rsidR="00171E35">
          <w:rPr>
            <w:noProof/>
          </w:rPr>
          <w:t>3</w:t>
        </w:r>
        <w:r>
          <w:rPr>
            <w:noProof/>
          </w:rPr>
          <w:fldChar w:fldCharType="end"/>
        </w:r>
      </w:p>
    </w:sdtContent>
  </w:sdt>
  <w:p w:rsidR="00C50395" w:rsidRDefault="00C5039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24BB" w:rsidRDefault="004F24BB" w:rsidP="00C50395">
      <w:pPr>
        <w:spacing w:after="0" w:line="240" w:lineRule="auto"/>
      </w:pPr>
      <w:r>
        <w:separator/>
      </w:r>
    </w:p>
  </w:footnote>
  <w:footnote w:type="continuationSeparator" w:id="0">
    <w:p w:rsidR="004F24BB" w:rsidRDefault="004F24BB" w:rsidP="00C5039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27F"/>
    <w:rsid w:val="00002F35"/>
    <w:rsid w:val="00113D07"/>
    <w:rsid w:val="00167695"/>
    <w:rsid w:val="00171E35"/>
    <w:rsid w:val="00186100"/>
    <w:rsid w:val="00194385"/>
    <w:rsid w:val="00284C0C"/>
    <w:rsid w:val="002B7C17"/>
    <w:rsid w:val="004330C9"/>
    <w:rsid w:val="00462D59"/>
    <w:rsid w:val="004A0B76"/>
    <w:rsid w:val="004F24BB"/>
    <w:rsid w:val="004F7571"/>
    <w:rsid w:val="00503562"/>
    <w:rsid w:val="005D63CF"/>
    <w:rsid w:val="00603F87"/>
    <w:rsid w:val="006B5D92"/>
    <w:rsid w:val="00766C74"/>
    <w:rsid w:val="00842809"/>
    <w:rsid w:val="00843616"/>
    <w:rsid w:val="0087382A"/>
    <w:rsid w:val="00873951"/>
    <w:rsid w:val="008B2584"/>
    <w:rsid w:val="008E0D2C"/>
    <w:rsid w:val="009751E1"/>
    <w:rsid w:val="00975311"/>
    <w:rsid w:val="009822F5"/>
    <w:rsid w:val="009A7396"/>
    <w:rsid w:val="009D2C29"/>
    <w:rsid w:val="00A62BEF"/>
    <w:rsid w:val="00B32424"/>
    <w:rsid w:val="00BC463D"/>
    <w:rsid w:val="00C0135E"/>
    <w:rsid w:val="00C50395"/>
    <w:rsid w:val="00C5127F"/>
    <w:rsid w:val="00C70160"/>
    <w:rsid w:val="00CC0A2C"/>
    <w:rsid w:val="00D60F3E"/>
    <w:rsid w:val="00E318B5"/>
    <w:rsid w:val="00E42204"/>
    <w:rsid w:val="00E54586"/>
    <w:rsid w:val="00E72F7F"/>
    <w:rsid w:val="00F03206"/>
    <w:rsid w:val="00FE2160"/>
    <w:rsid w:val="00FE4A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215D95-A052-4D6C-97BA-CAE08889F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C512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C512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3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0395"/>
  </w:style>
  <w:style w:type="paragraph" w:styleId="Footer">
    <w:name w:val="footer"/>
    <w:basedOn w:val="Normal"/>
    <w:link w:val="FooterChar"/>
    <w:uiPriority w:val="99"/>
    <w:unhideWhenUsed/>
    <w:rsid w:val="00C503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03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1223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4820</Words>
  <Characters>27474</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Zeytoon</Company>
  <LinksUpToDate>false</LinksUpToDate>
  <CharactersWithSpaces>32230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FH</dc:creator>
  <cp:lastModifiedBy>M.R.co</cp:lastModifiedBy>
  <cp:revision>2</cp:revision>
  <dcterms:created xsi:type="dcterms:W3CDTF">2023-03-28T05:51:00Z</dcterms:created>
  <dcterms:modified xsi:type="dcterms:W3CDTF">2023-03-28T05:51:00Z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http://www.zotero.org/styles/clinical-and-experimental-medicine</vt:lpwstr>
  </property>
  <property fmtid="{D5CDD505-2E9C-101B-9397-08002B2CF9AE}" pid="3" name="Mendeley Recent Style Name 0_1">
    <vt:lpwstr>Clinical and Experimental Medicine</vt:lpwstr>
  </property>
  <property fmtid="{D5CDD505-2E9C-101B-9397-08002B2CF9AE}" pid="4" name="Mendeley Recent Style Id 1_1">
    <vt:lpwstr>http://www.zotero.org/styles/comparative-clinical-pathology</vt:lpwstr>
  </property>
  <property fmtid="{D5CDD505-2E9C-101B-9397-08002B2CF9AE}" pid="5" name="Mendeley Recent Style Name 1_1">
    <vt:lpwstr>Comparative Clinical Pathology</vt:lpwstr>
  </property>
  <property fmtid="{D5CDD505-2E9C-101B-9397-08002B2CF9AE}" pid="6" name="Mendeley Recent Style Id 2_1">
    <vt:lpwstr>http://www.zotero.org/styles/ieee</vt:lpwstr>
  </property>
  <property fmtid="{D5CDD505-2E9C-101B-9397-08002B2CF9AE}" pid="7" name="Mendeley Recent Style Name 2_1">
    <vt:lpwstr>IEEE</vt:lpwstr>
  </property>
  <property fmtid="{D5CDD505-2E9C-101B-9397-08002B2CF9AE}" pid="8" name="Mendeley Recent Style Id 3_1">
    <vt:lpwstr>http://www.zotero.org/styles/journal-of-surgery-and-medicine</vt:lpwstr>
  </property>
  <property fmtid="{D5CDD505-2E9C-101B-9397-08002B2CF9AE}" pid="9" name="Mendeley Recent Style Name 3_1">
    <vt:lpwstr>Journal of Surgery and Medicine</vt:lpwstr>
  </property>
  <property fmtid="{D5CDD505-2E9C-101B-9397-08002B2CF9AE}" pid="10" name="Mendeley Recent Style Id 4_1">
    <vt:lpwstr>http://www.zotero.org/styles/molecular-biology-reports</vt:lpwstr>
  </property>
  <property fmtid="{D5CDD505-2E9C-101B-9397-08002B2CF9AE}" pid="11" name="Mendeley Recent Style Name 4_1">
    <vt:lpwstr>Molecular Biology Reports</vt:lpwstr>
  </property>
  <property fmtid="{D5CDD505-2E9C-101B-9397-08002B2CF9AE}" pid="12" name="Mendeley Recent Style Id 5_1">
    <vt:lpwstr>http://www.zotero.org/styles/pharmaceutical-research</vt:lpwstr>
  </property>
  <property fmtid="{D5CDD505-2E9C-101B-9397-08002B2CF9AE}" pid="13" name="Mendeley Recent Style Name 5_1">
    <vt:lpwstr>Pharmaceutical Research</vt:lpwstr>
  </property>
  <property fmtid="{D5CDD505-2E9C-101B-9397-08002B2CF9AE}" pid="14" name="Mendeley Recent Style Id 6_1">
    <vt:lpwstr>http://www.zotero.org/styles/regenerative-medicine</vt:lpwstr>
  </property>
  <property fmtid="{D5CDD505-2E9C-101B-9397-08002B2CF9AE}" pid="15" name="Mendeley Recent Style Name 6_1">
    <vt:lpwstr>Regenerative Medicine</vt:lpwstr>
  </property>
  <property fmtid="{D5CDD505-2E9C-101B-9397-08002B2CF9AE}" pid="16" name="Mendeley Recent Style Id 7_1">
    <vt:lpwstr>http://www.zotero.org/styles/sage-vancouver-brackets</vt:lpwstr>
  </property>
  <property fmtid="{D5CDD505-2E9C-101B-9397-08002B2CF9AE}" pid="17" name="Mendeley Recent Style Name 7_1">
    <vt:lpwstr>SAGE - Vancouver (brackets)</vt:lpwstr>
  </property>
  <property fmtid="{D5CDD505-2E9C-101B-9397-08002B2CF9AE}" pid="18" name="Mendeley Recent Style Id 8_1">
    <vt:lpwstr>http://www.zotero.org/styles/stem-cell-research-and-therapy</vt:lpwstr>
  </property>
  <property fmtid="{D5CDD505-2E9C-101B-9397-08002B2CF9AE}" pid="19" name="Mendeley Recent Style Name 8_1">
    <vt:lpwstr>Stem Cell Research &amp; Therapy</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Citation Style_1">
    <vt:lpwstr>http://www.zotero.org/styles/regenerative-medicine</vt:lpwstr>
  </property>
  <property fmtid="{D5CDD505-2E9C-101B-9397-08002B2CF9AE}" pid="24" name="Mendeley Unique User Id_1">
    <vt:lpwstr>434cd59c-fe1b-3fd5-bea8-71393fcbbdb7</vt:lpwstr>
  </property>
</Properties>
</file>