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1402" w:rsidRPr="00565C02" w:rsidRDefault="001F1402" w:rsidP="001F1402">
      <w:pPr>
        <w:spacing w:line="276" w:lineRule="auto"/>
        <w:jc w:val="both"/>
        <w:rPr>
          <w:rFonts w:ascii="Times New Roman" w:hAnsi="Times New Roman" w:cs="Times New Roman"/>
        </w:rPr>
      </w:pPr>
    </w:p>
    <w:p w:rsidR="001F1402" w:rsidRPr="00565C02" w:rsidRDefault="001F1402" w:rsidP="001F1402">
      <w:pPr>
        <w:spacing w:line="276" w:lineRule="auto"/>
        <w:jc w:val="center"/>
        <w:rPr>
          <w:rFonts w:ascii="Times New Roman" w:hAnsi="Times New Roman" w:cs="Times New Roman"/>
          <w:b/>
          <w:bCs/>
        </w:rPr>
      </w:pPr>
      <w:bookmarkStart w:id="0" w:name="_Hlk136326173"/>
      <w:r w:rsidRPr="00565C02">
        <w:rPr>
          <w:rFonts w:ascii="Times New Roman" w:hAnsi="Times New Roman" w:cs="Times New Roman"/>
          <w:b/>
          <w:bCs/>
        </w:rPr>
        <w:t xml:space="preserve">Table </w:t>
      </w:r>
      <w:r>
        <w:rPr>
          <w:rFonts w:ascii="Times New Roman" w:hAnsi="Times New Roman" w:cs="Times New Roman"/>
          <w:b/>
          <w:bCs/>
        </w:rPr>
        <w:t>S2a</w:t>
      </w:r>
      <w:r w:rsidRPr="00565C02">
        <w:rPr>
          <w:rFonts w:ascii="Times New Roman" w:hAnsi="Times New Roman" w:cs="Times New Roman"/>
          <w:b/>
          <w:bCs/>
        </w:rPr>
        <w:t xml:space="preserve">: </w:t>
      </w:r>
      <w:r w:rsidRPr="00565C02">
        <w:rPr>
          <w:rFonts w:ascii="Times New Roman" w:hAnsi="Times New Roman" w:cs="Times New Roman"/>
        </w:rPr>
        <w:t xml:space="preserve">Applications of </w:t>
      </w:r>
      <w:proofErr w:type="spellStart"/>
      <w:r w:rsidR="001B1A36">
        <w:rPr>
          <w:rFonts w:ascii="Times New Roman" w:hAnsi="Times New Roman" w:cs="Times New Roman"/>
        </w:rPr>
        <w:t>NanoParticles</w:t>
      </w:r>
      <w:proofErr w:type="spellEnd"/>
      <w:r w:rsidR="001B1A36">
        <w:rPr>
          <w:rFonts w:ascii="Times New Roman" w:hAnsi="Times New Roman" w:cs="Times New Roman"/>
        </w:rPr>
        <w:t xml:space="preserve"> (</w:t>
      </w:r>
      <w:r w:rsidR="001B1A36" w:rsidRPr="004026CE">
        <w:rPr>
          <w:rFonts w:ascii="Times New Roman" w:hAnsi="Times New Roman" w:cs="Times New Roman"/>
        </w:rPr>
        <w:t>NPs</w:t>
      </w:r>
      <w:r w:rsidR="001B1A36">
        <w:rPr>
          <w:rFonts w:ascii="Times New Roman" w:hAnsi="Times New Roman" w:cs="Times New Roman"/>
        </w:rPr>
        <w:t>)</w:t>
      </w:r>
      <w:r w:rsidR="001B1A36" w:rsidRPr="004026CE">
        <w:rPr>
          <w:rFonts w:ascii="Times New Roman" w:hAnsi="Times New Roman" w:cs="Times New Roman"/>
        </w:rPr>
        <w:t xml:space="preserve"> </w:t>
      </w:r>
      <w:r w:rsidRPr="00565C02">
        <w:rPr>
          <w:rFonts w:ascii="Times New Roman" w:hAnsi="Times New Roman" w:cs="Times New Roman"/>
        </w:rPr>
        <w:t>in various fields</w:t>
      </w:r>
    </w:p>
    <w:tbl>
      <w:tblPr>
        <w:tblStyle w:val="TableGrid"/>
        <w:tblpPr w:leftFromText="180" w:rightFromText="180" w:vertAnchor="text" w:tblpXSpec="center" w:tblpY="1"/>
        <w:tblOverlap w:val="never"/>
        <w:tblW w:w="8982" w:type="dxa"/>
        <w:jc w:val="center"/>
        <w:tblLook w:val="04A0" w:firstRow="1" w:lastRow="0" w:firstColumn="1" w:lastColumn="0" w:noHBand="0" w:noVBand="1"/>
      </w:tblPr>
      <w:tblGrid>
        <w:gridCol w:w="2122"/>
        <w:gridCol w:w="5530"/>
        <w:gridCol w:w="1330"/>
      </w:tblGrid>
      <w:tr w:rsidR="001F1402" w:rsidRPr="00565C02" w:rsidTr="00E65081">
        <w:trPr>
          <w:trHeight w:val="3058"/>
          <w:jc w:val="center"/>
        </w:trPr>
        <w:tc>
          <w:tcPr>
            <w:tcW w:w="2122" w:type="dxa"/>
          </w:tcPr>
          <w:bookmarkEnd w:id="0"/>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Diagnostic tools</w:t>
            </w:r>
          </w:p>
          <w:p w:rsidR="001F1402" w:rsidRPr="00565C02" w:rsidRDefault="001F1402" w:rsidP="00E65081">
            <w:pPr>
              <w:spacing w:line="276" w:lineRule="auto"/>
              <w:jc w:val="both"/>
              <w:rPr>
                <w:rFonts w:ascii="Times New Roman" w:hAnsi="Times New Roman" w:cs="Times New Roman"/>
              </w:rPr>
            </w:pPr>
          </w:p>
          <w:p w:rsidR="001F1402" w:rsidRPr="00565C02" w:rsidRDefault="001F1402" w:rsidP="00E65081">
            <w:pPr>
              <w:spacing w:line="276" w:lineRule="auto"/>
              <w:jc w:val="both"/>
              <w:rPr>
                <w:rFonts w:ascii="Times New Roman" w:hAnsi="Times New Roman" w:cs="Times New Roman"/>
              </w:rPr>
            </w:pPr>
          </w:p>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Drug delivery</w:t>
            </w:r>
          </w:p>
          <w:p w:rsidR="001F1402" w:rsidRPr="00565C02" w:rsidRDefault="001F1402" w:rsidP="00E65081">
            <w:pPr>
              <w:spacing w:line="276" w:lineRule="auto"/>
              <w:jc w:val="both"/>
              <w:rPr>
                <w:rFonts w:ascii="Times New Roman" w:hAnsi="Times New Roman" w:cs="Times New Roman"/>
              </w:rPr>
            </w:pPr>
          </w:p>
          <w:p w:rsidR="001F1402" w:rsidRPr="00565C02" w:rsidRDefault="001F1402" w:rsidP="00E65081">
            <w:pPr>
              <w:spacing w:line="276" w:lineRule="auto"/>
              <w:jc w:val="both"/>
              <w:rPr>
                <w:rFonts w:ascii="Times New Roman" w:hAnsi="Times New Roman" w:cs="Times New Roman"/>
              </w:rPr>
            </w:pPr>
          </w:p>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Direct therapeutics</w:t>
            </w:r>
          </w:p>
          <w:p w:rsidR="001F1402" w:rsidRPr="00565C02" w:rsidRDefault="001F1402" w:rsidP="00E65081">
            <w:pPr>
              <w:spacing w:line="276" w:lineRule="auto"/>
              <w:jc w:val="both"/>
              <w:rPr>
                <w:rFonts w:ascii="Times New Roman" w:hAnsi="Times New Roman" w:cs="Times New Roman"/>
              </w:rPr>
            </w:pPr>
          </w:p>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 xml:space="preserve">Multifunctional </w:t>
            </w:r>
            <w:proofErr w:type="spellStart"/>
            <w:r w:rsidRPr="00565C02">
              <w:rPr>
                <w:rFonts w:ascii="Times New Roman" w:hAnsi="Times New Roman" w:cs="Times New Roman"/>
              </w:rPr>
              <w:t>theranostics</w:t>
            </w:r>
            <w:proofErr w:type="spellEnd"/>
          </w:p>
        </w:tc>
        <w:tc>
          <w:tcPr>
            <w:tcW w:w="5530"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i/>
                <w:iCs/>
              </w:rPr>
              <w:t xml:space="preserve">In vitro </w:t>
            </w:r>
            <w:r w:rsidRPr="00565C02">
              <w:rPr>
                <w:rFonts w:ascii="Times New Roman" w:hAnsi="Times New Roman" w:cs="Times New Roman"/>
              </w:rPr>
              <w:t>and</w:t>
            </w:r>
            <w:r w:rsidRPr="00565C02">
              <w:rPr>
                <w:rFonts w:ascii="Times New Roman" w:hAnsi="Times New Roman" w:cs="Times New Roman"/>
                <w:i/>
                <w:iCs/>
              </w:rPr>
              <w:t xml:space="preserve"> in vivo</w:t>
            </w:r>
            <w:r w:rsidRPr="00565C02">
              <w:rPr>
                <w:rFonts w:ascii="Times New Roman" w:hAnsi="Times New Roman" w:cs="Times New Roman"/>
              </w:rPr>
              <w:t xml:space="preserve"> imaging and determination of tumor markers.</w:t>
            </w:r>
          </w:p>
          <w:p w:rsidR="001F1402" w:rsidRPr="00565C02" w:rsidRDefault="001F1402" w:rsidP="00E65081">
            <w:pPr>
              <w:spacing w:line="276" w:lineRule="auto"/>
              <w:jc w:val="both"/>
              <w:rPr>
                <w:rFonts w:ascii="Times New Roman" w:hAnsi="Times New Roman" w:cs="Times New Roman"/>
              </w:rPr>
            </w:pPr>
          </w:p>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Direct and indirect coupling of drugs to single or core-shell inorganic NPs.</w:t>
            </w:r>
          </w:p>
          <w:p w:rsidR="001F1402" w:rsidRPr="00565C02" w:rsidRDefault="001F1402" w:rsidP="00E65081">
            <w:pPr>
              <w:spacing w:line="276" w:lineRule="auto"/>
              <w:jc w:val="both"/>
              <w:rPr>
                <w:rFonts w:ascii="Times New Roman" w:hAnsi="Times New Roman" w:cs="Times New Roman"/>
              </w:rPr>
            </w:pPr>
          </w:p>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Chemotherapeutic agents</w:t>
            </w:r>
          </w:p>
          <w:p w:rsidR="001F1402" w:rsidRPr="00565C02" w:rsidRDefault="001F1402" w:rsidP="00E65081">
            <w:pPr>
              <w:spacing w:line="276" w:lineRule="auto"/>
              <w:jc w:val="both"/>
              <w:rPr>
                <w:rFonts w:ascii="Times New Roman" w:hAnsi="Times New Roman" w:cs="Times New Roman"/>
              </w:rPr>
            </w:pPr>
          </w:p>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Diagnostics and targeted therapies administration</w:t>
            </w:r>
          </w:p>
        </w:tc>
        <w:tc>
          <w:tcPr>
            <w:tcW w:w="1330" w:type="dxa"/>
          </w:tcPr>
          <w:p w:rsidR="001F1402" w:rsidRPr="00565C02" w:rsidRDefault="001F1402" w:rsidP="00E65081">
            <w:pPr>
              <w:spacing w:line="276" w:lineRule="auto"/>
              <w:jc w:val="both"/>
              <w:rPr>
                <w:rFonts w:ascii="Times New Roman" w:hAnsi="Times New Roman" w:cs="Times New Roman"/>
              </w:rPr>
            </w:pPr>
          </w:p>
          <w:p w:rsidR="001F1402" w:rsidRPr="00565C02" w:rsidRDefault="001F1402" w:rsidP="00E65081">
            <w:pPr>
              <w:spacing w:line="276" w:lineRule="auto"/>
              <w:jc w:val="both"/>
              <w:rPr>
                <w:rFonts w:ascii="Times New Roman" w:hAnsi="Times New Roman" w:cs="Times New Roman"/>
              </w:rPr>
            </w:pPr>
          </w:p>
          <w:p w:rsidR="001F1402" w:rsidRPr="00565C02" w:rsidRDefault="001F1402" w:rsidP="00E65081">
            <w:pPr>
              <w:spacing w:line="276" w:lineRule="auto"/>
              <w:jc w:val="both"/>
              <w:rPr>
                <w:rFonts w:ascii="Times New Roman" w:hAnsi="Times New Roman" w:cs="Times New Roman"/>
              </w:rPr>
            </w:pPr>
          </w:p>
          <w:p w:rsidR="001F1402" w:rsidRPr="00565C02" w:rsidRDefault="001F1402" w:rsidP="00E65081">
            <w:pPr>
              <w:spacing w:line="276" w:lineRule="auto"/>
              <w:jc w:val="both"/>
              <w:rPr>
                <w:rFonts w:ascii="Times New Roman" w:hAnsi="Times New Roman" w:cs="Times New Roman"/>
              </w:rPr>
            </w:pPr>
          </w:p>
          <w:p w:rsidR="001F1402" w:rsidRPr="00565C02" w:rsidRDefault="001F1402" w:rsidP="00E65081">
            <w:pPr>
              <w:spacing w:line="276" w:lineRule="auto"/>
              <w:jc w:val="both"/>
              <w:rPr>
                <w:rFonts w:ascii="Times New Roman" w:hAnsi="Times New Roman" w:cs="Times New Roman"/>
              </w:rPr>
            </w:pPr>
          </w:p>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{"citationItems":[{"id":"ITEM-1","itemData":{"DOI":"10.1515/ejnm-2015-0024","ISSN":"1662596X","abstract":"Theranostics are a multifunctional approach using nanoparticles for combined diagnostic and therapeutic purposes. The hybrid nanoparticles that are applied for these purposes are composed of an inorganic core and an organic shell. The inorganic core acts as a contrast enhancer and the organic shell acts as a drug releaser. Hybrid nanoparticles can be conjugated with targeting moieties and systematically administered to patients to direct the nanoparticles to specific cells such as cancer cells. Theranostics have the potential to significantly improve early stage cancer diagnostics and patient survival. This review discusses preclinical and clinical advances in applications of inorganic nanoparticles for the theranostics of cancer.","author":[{"dropping-particle":"","family":"Verma","given":"Jyoti","non-dropping-particle":"","parse-names":false,"suffix":""},{"dropping-particle":"","family":"Lal","given":"Sumit","non-dropping-particle":"","parse-names":false,"suffix":""},{"dropping-particle":"","family":"Noorden","given":"Cornelis J.F.","non-dropping-particle":"Van","parse-names":false,"suffix":""}],"container-title":"European Journal of Nanomedicine","id":"ITEM-1","issue":"4","issued":{"date-parts":[["2015","11"]]},"page":"271-287","publisher":"Walter de Gruyter GmbH","title":"Inorganic nanoparticles for the theranostics of cancer","type":"article","volume":"7"},"uris":["http://www.mendeley.com/documents/?uuid=e7db630a-3ffd-4c0c-89c9-d9599c463ea9"]}],"mendeley":{"formattedCitation":"[112]","plainTextFormattedCitation":"[112]","previouslyFormattedCitation":"[112]"},"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[112]</w:t>
            </w:r>
            <w:r w:rsidRPr="00565C02">
              <w:rPr>
                <w:rFonts w:ascii="Times New Roman" w:hAnsi="Times New Roman" w:cs="Times New Roman"/>
              </w:rPr>
              <w:fldChar w:fldCharType="end"/>
            </w:r>
          </w:p>
        </w:tc>
      </w:tr>
    </w:tbl>
    <w:p w:rsidR="001F1402" w:rsidRPr="00565C02" w:rsidRDefault="001F1402" w:rsidP="001F1402">
      <w:pPr>
        <w:spacing w:line="276" w:lineRule="auto"/>
        <w:jc w:val="both"/>
        <w:rPr>
          <w:rFonts w:ascii="Times New Roman" w:hAnsi="Times New Roman" w:cs="Times New Roman"/>
        </w:rPr>
      </w:pPr>
    </w:p>
    <w:p w:rsidR="001F1402" w:rsidRPr="00565C02" w:rsidRDefault="001F1402" w:rsidP="001F1402">
      <w:pPr>
        <w:spacing w:line="276" w:lineRule="auto"/>
        <w:jc w:val="center"/>
        <w:rPr>
          <w:rFonts w:ascii="Times New Roman" w:hAnsi="Times New Roman" w:cs="Times New Roman"/>
          <w:b/>
          <w:bCs/>
        </w:rPr>
      </w:pPr>
      <w:r w:rsidRPr="00565C02">
        <w:rPr>
          <w:rFonts w:ascii="Times New Roman" w:hAnsi="Times New Roman" w:cs="Times New Roman"/>
          <w:b/>
          <w:bCs/>
        </w:rPr>
        <w:t xml:space="preserve">Table </w:t>
      </w:r>
      <w:r>
        <w:rPr>
          <w:rFonts w:ascii="Times New Roman" w:hAnsi="Times New Roman" w:cs="Times New Roman"/>
          <w:b/>
          <w:bCs/>
        </w:rPr>
        <w:t>S2b</w:t>
      </w:r>
      <w:r w:rsidRPr="00565C02">
        <w:rPr>
          <w:rFonts w:ascii="Times New Roman" w:hAnsi="Times New Roman" w:cs="Times New Roman"/>
          <w:b/>
          <w:bCs/>
        </w:rPr>
        <w:t xml:space="preserve">: </w:t>
      </w:r>
      <w:r w:rsidRPr="00565C02">
        <w:rPr>
          <w:rFonts w:ascii="Times New Roman" w:hAnsi="Times New Roman" w:cs="Times New Roman"/>
        </w:rPr>
        <w:t xml:space="preserve">Applications of </w:t>
      </w:r>
      <w:proofErr w:type="spellStart"/>
      <w:r w:rsidR="004E4ADB">
        <w:rPr>
          <w:rFonts w:ascii="Times New Roman" w:hAnsi="Times New Roman" w:cs="Times New Roman"/>
        </w:rPr>
        <w:t>NanoParticles</w:t>
      </w:r>
      <w:proofErr w:type="spellEnd"/>
      <w:r w:rsidR="004E4ADB">
        <w:rPr>
          <w:rFonts w:ascii="Times New Roman" w:hAnsi="Times New Roman" w:cs="Times New Roman"/>
        </w:rPr>
        <w:t xml:space="preserve"> (</w:t>
      </w:r>
      <w:r w:rsidR="004E4ADB" w:rsidRPr="004026CE">
        <w:rPr>
          <w:rFonts w:ascii="Times New Roman" w:hAnsi="Times New Roman" w:cs="Times New Roman"/>
        </w:rPr>
        <w:t>NPs</w:t>
      </w:r>
      <w:r w:rsidR="004E4ADB">
        <w:rPr>
          <w:rFonts w:ascii="Times New Roman" w:hAnsi="Times New Roman" w:cs="Times New Roman"/>
        </w:rPr>
        <w:t>)</w:t>
      </w:r>
      <w:r w:rsidR="004E4ADB" w:rsidRPr="004026CE">
        <w:rPr>
          <w:rFonts w:ascii="Times New Roman" w:hAnsi="Times New Roman" w:cs="Times New Roman"/>
        </w:rPr>
        <w:t xml:space="preserve"> </w:t>
      </w:r>
      <w:bookmarkStart w:id="1" w:name="_GoBack"/>
      <w:bookmarkEnd w:id="1"/>
      <w:r w:rsidRPr="00565C02">
        <w:rPr>
          <w:rFonts w:ascii="Times New Roman" w:hAnsi="Times New Roman" w:cs="Times New Roman"/>
        </w:rPr>
        <w:t>in various fields</w:t>
      </w:r>
    </w:p>
    <w:tbl>
      <w:tblPr>
        <w:tblStyle w:val="TableGrid"/>
        <w:tblpPr w:leftFromText="180" w:rightFromText="180" w:vertAnchor="text" w:tblpXSpec="center" w:tblpY="1"/>
        <w:tblOverlap w:val="never"/>
        <w:tblW w:w="10712" w:type="dxa"/>
        <w:jc w:val="center"/>
        <w:tblLook w:val="04A0" w:firstRow="1" w:lastRow="0" w:firstColumn="1" w:lastColumn="0" w:noHBand="0" w:noVBand="1"/>
      </w:tblPr>
      <w:tblGrid>
        <w:gridCol w:w="1878"/>
        <w:gridCol w:w="2286"/>
        <w:gridCol w:w="1824"/>
        <w:gridCol w:w="1475"/>
        <w:gridCol w:w="2007"/>
        <w:gridCol w:w="1242"/>
      </w:tblGrid>
      <w:tr w:rsidR="001F1402" w:rsidRPr="00565C02" w:rsidTr="00E65081">
        <w:trPr>
          <w:trHeight w:val="1016"/>
          <w:jc w:val="center"/>
        </w:trPr>
        <w:tc>
          <w:tcPr>
            <w:tcW w:w="1809" w:type="dxa"/>
          </w:tcPr>
          <w:p w:rsidR="001F1402" w:rsidRPr="00565C02" w:rsidRDefault="001F1402" w:rsidP="00E65081">
            <w:pPr>
              <w:spacing w:line="276" w:lineRule="auto"/>
              <w:jc w:val="both"/>
              <w:rPr>
                <w:rFonts w:ascii="Times New Roman" w:hAnsi="Times New Roman" w:cs="Times New Roman"/>
                <w:b/>
                <w:bCs/>
              </w:rPr>
            </w:pPr>
            <w:r w:rsidRPr="00565C02">
              <w:rPr>
                <w:rFonts w:ascii="Times New Roman" w:hAnsi="Times New Roman" w:cs="Times New Roman"/>
                <w:b/>
                <w:bCs/>
              </w:rPr>
              <w:t xml:space="preserve"> Drug Formulations</w:t>
            </w:r>
          </w:p>
        </w:tc>
        <w:tc>
          <w:tcPr>
            <w:tcW w:w="2297" w:type="dxa"/>
          </w:tcPr>
          <w:p w:rsidR="001F1402" w:rsidRPr="00565C02" w:rsidRDefault="001F1402" w:rsidP="00E65081">
            <w:pPr>
              <w:spacing w:line="276" w:lineRule="auto"/>
              <w:jc w:val="both"/>
              <w:rPr>
                <w:rFonts w:ascii="Times New Roman" w:hAnsi="Times New Roman" w:cs="Times New Roman"/>
                <w:b/>
                <w:bCs/>
              </w:rPr>
            </w:pPr>
            <w:r w:rsidRPr="00565C02">
              <w:rPr>
                <w:rFonts w:ascii="Times New Roman" w:hAnsi="Times New Roman" w:cs="Times New Roman"/>
                <w:b/>
                <w:bCs/>
              </w:rPr>
              <w:t>Chemicals/Polymers</w:t>
            </w:r>
          </w:p>
        </w:tc>
        <w:tc>
          <w:tcPr>
            <w:tcW w:w="1915" w:type="dxa"/>
          </w:tcPr>
          <w:p w:rsidR="001F1402" w:rsidRPr="00565C02" w:rsidRDefault="001F1402" w:rsidP="00E65081">
            <w:pPr>
              <w:spacing w:line="276" w:lineRule="auto"/>
              <w:jc w:val="both"/>
              <w:rPr>
                <w:rFonts w:ascii="Times New Roman" w:hAnsi="Times New Roman" w:cs="Times New Roman"/>
                <w:b/>
                <w:bCs/>
              </w:rPr>
            </w:pPr>
            <w:r w:rsidRPr="00565C02">
              <w:rPr>
                <w:rFonts w:ascii="Times New Roman" w:hAnsi="Times New Roman" w:cs="Times New Roman"/>
                <w:b/>
                <w:bCs/>
              </w:rPr>
              <w:t>Active ingredients</w:t>
            </w:r>
          </w:p>
        </w:tc>
        <w:tc>
          <w:tcPr>
            <w:tcW w:w="1417" w:type="dxa"/>
          </w:tcPr>
          <w:p w:rsidR="001F1402" w:rsidRPr="00565C02" w:rsidRDefault="001F1402" w:rsidP="00E65081">
            <w:pPr>
              <w:spacing w:line="276" w:lineRule="auto"/>
              <w:jc w:val="both"/>
              <w:rPr>
                <w:rFonts w:ascii="Times New Roman" w:hAnsi="Times New Roman" w:cs="Times New Roman"/>
                <w:b/>
                <w:bCs/>
              </w:rPr>
            </w:pPr>
            <w:r w:rsidRPr="00565C02">
              <w:rPr>
                <w:rFonts w:ascii="Times New Roman" w:hAnsi="Times New Roman" w:cs="Times New Roman"/>
                <w:b/>
                <w:bCs/>
              </w:rPr>
              <w:t>Cell line/Receptor</w:t>
            </w:r>
          </w:p>
        </w:tc>
        <w:tc>
          <w:tcPr>
            <w:tcW w:w="2083" w:type="dxa"/>
          </w:tcPr>
          <w:p w:rsidR="001F1402" w:rsidRPr="00565C02" w:rsidRDefault="001F1402" w:rsidP="00E65081">
            <w:pPr>
              <w:spacing w:line="276" w:lineRule="auto"/>
              <w:jc w:val="both"/>
              <w:rPr>
                <w:rFonts w:ascii="Times New Roman" w:hAnsi="Times New Roman" w:cs="Times New Roman"/>
                <w:b/>
                <w:bCs/>
              </w:rPr>
            </w:pPr>
            <w:r w:rsidRPr="00565C02">
              <w:rPr>
                <w:rFonts w:ascii="Times New Roman" w:hAnsi="Times New Roman" w:cs="Times New Roman"/>
                <w:b/>
                <w:bCs/>
              </w:rPr>
              <w:t>Outcome</w:t>
            </w:r>
          </w:p>
        </w:tc>
        <w:tc>
          <w:tcPr>
            <w:tcW w:w="1191" w:type="dxa"/>
          </w:tcPr>
          <w:p w:rsidR="001F1402" w:rsidRPr="00565C02" w:rsidRDefault="001F1402" w:rsidP="00E65081">
            <w:pPr>
              <w:spacing w:line="276" w:lineRule="auto"/>
              <w:jc w:val="both"/>
              <w:rPr>
                <w:rFonts w:ascii="Times New Roman" w:hAnsi="Times New Roman" w:cs="Times New Roman"/>
                <w:b/>
                <w:bCs/>
              </w:rPr>
            </w:pPr>
            <w:r w:rsidRPr="00565C02">
              <w:rPr>
                <w:rFonts w:ascii="Times New Roman" w:hAnsi="Times New Roman" w:cs="Times New Roman"/>
                <w:b/>
                <w:bCs/>
              </w:rPr>
              <w:t>References</w:t>
            </w:r>
          </w:p>
        </w:tc>
      </w:tr>
      <w:tr w:rsidR="001F1402" w:rsidRPr="00565C02" w:rsidTr="00E65081">
        <w:trPr>
          <w:trHeight w:val="1016"/>
          <w:jc w:val="center"/>
        </w:trPr>
        <w:tc>
          <w:tcPr>
            <w:tcW w:w="1809"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Polymeric NPs of Docetaxel</w:t>
            </w:r>
          </w:p>
        </w:tc>
        <w:tc>
          <w:tcPr>
            <w:tcW w:w="229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Pluronic F-127</w:t>
            </w:r>
          </w:p>
        </w:tc>
        <w:tc>
          <w:tcPr>
            <w:tcW w:w="1915"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DTX</w:t>
            </w:r>
          </w:p>
        </w:tc>
        <w:tc>
          <w:tcPr>
            <w:tcW w:w="141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HER-2+ cell line</w:t>
            </w:r>
          </w:p>
        </w:tc>
        <w:tc>
          <w:tcPr>
            <w:tcW w:w="2083"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Increase uptake and cytotoxicity</w:t>
            </w:r>
          </w:p>
        </w:tc>
        <w:tc>
          <w:tcPr>
            <w:tcW w:w="1191"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{"citationItems":[{"id":"ITEM-1","itemData":{"DOI":"10.1177/0883911517710811","ISSN":"15308030","abstract":"The development of novel combination anticancer drug delivery systems is an important step to improve the effectiveness of anticancer treatment in metastatic breast cancer and to overcome increased...","author":[{"dropping-particle":"","family":"Karahaliloğlu","given":"Zeynep","non-dropping-particle":"","parse-names":false,"suffix":""},{"dropping-particle":"","family":"Kilicay","given":"Ebru","non-dropping-particle":"","parse-names":false,"suffix":""},{"dropping-particle":"","family":"Alpaslan","given":"Pınar","non-dropping-particle":"","parse-names":false,"suffix":""},{"dropping-particle":"","family":"Hazer","given":"Baki","non-dropping-particle":"","parse-names":false,"suffix":""},{"dropping-particle":"","family":"Baki Denkbas","given":"Emir","non-dropping-particle":"","parse-names":false,"suffix":""}],"container-title":"https://doi.org/10.1177/0883911517710811","id":"ITEM-1","issue":"1","issued":{"date-parts":[["2017","6"]]},"page":"38-62","publisher":"SAGE PublicationsSage UK: London, England","title":"Enhanced antitumor activity of epigallocatechin gallate–conjugated dual-drug-loaded polystyrene–polysoyaoil–diethanol amine nanoparticles for breast cancer therapy:","type":"article-journal","volume":"33"},"uris":["http://www.mendeley.com/documents/?uuid=ed21293d-06e1-4a7d-84df-5765ddcb5407"]}],"mendeley":{"formattedCitation":"[165]","plainTextFormattedCitation":"[165]","previouslyFormattedCitation":"[165]"},"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[165]</w:t>
            </w:r>
            <w:r w:rsidRPr="00565C02">
              <w:rPr>
                <w:rFonts w:ascii="Times New Roman" w:hAnsi="Times New Roman" w:cs="Times New Roman"/>
              </w:rPr>
              <w:fldChar w:fldCharType="end"/>
            </w:r>
          </w:p>
        </w:tc>
      </w:tr>
      <w:tr w:rsidR="001F1402" w:rsidRPr="00565C02" w:rsidTr="00E65081">
        <w:trPr>
          <w:trHeight w:val="972"/>
          <w:jc w:val="center"/>
        </w:trPr>
        <w:tc>
          <w:tcPr>
            <w:tcW w:w="1809"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Magnetically hybrid NPs</w:t>
            </w:r>
          </w:p>
        </w:tc>
        <w:tc>
          <w:tcPr>
            <w:tcW w:w="229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PEG-</w:t>
            </w:r>
            <w:proofErr w:type="spellStart"/>
            <w:r w:rsidRPr="00565C02">
              <w:rPr>
                <w:rFonts w:ascii="Times New Roman" w:hAnsi="Times New Roman" w:cs="Times New Roman"/>
              </w:rPr>
              <w:t>PAsp</w:t>
            </w:r>
            <w:proofErr w:type="spellEnd"/>
          </w:p>
        </w:tc>
        <w:tc>
          <w:tcPr>
            <w:tcW w:w="1915"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siRNA</w:t>
            </w:r>
          </w:p>
        </w:tc>
        <w:tc>
          <w:tcPr>
            <w:tcW w:w="141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VEGF gene overexpressed</w:t>
            </w:r>
          </w:p>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BC cell.</w:t>
            </w:r>
          </w:p>
        </w:tc>
        <w:tc>
          <w:tcPr>
            <w:tcW w:w="2083"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Higher amount of RNA found in BC cell</w:t>
            </w:r>
          </w:p>
        </w:tc>
        <w:tc>
          <w:tcPr>
            <w:tcW w:w="1191"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author":[{"dropping-particle":"","family":"Sang","given":"M","non-dropping-particle":"","parse-names":false,"suffix":""},{"dropping-particle":"","family":"Han","given":"L","non-dropping-particle":"","parse-names":false,"suffix":""},{"dropping-particle":"","family":"Luo","given":"R","non-dropping-particle":"","parse-names":false,"suffix":""},{"dropping-particle":"","family":"Liu","given":"F","non-dropping-particle":"","parse-names":false,"suffix":""},{"dropping-particle":"","family":"Wang","given":"Y","non-dropping-particle":"","parse-names":false,"suffix":""},{"dropping-particle":"","family":"Qu","given":"W","non-dropping-particle":"","parse-names":false,"suffix":""},{"dropping-particle":"","family":"Zheng","given":"F","non-dropping-particle":"","parse-names":false,"suffix":""}],"id":"ITEM-1","issued":{"date-parts":[["2018"]]},"title":"WITHDRAWN: Magnetic and CD44 receptor dual targeting redox-responsive polymeric micelle for precise delivery of Gambogic acid to triple-negative breast cancer","type":"article-journal"},"uris":["http://www.mendeley.com/documents/?uuid=0ad39bbc-19d0-4f2f-9e01-3bc955163683"]}],"mendeley":{"formattedCitation":"[166]","plainTextFormattedCitation":"[166]","previouslyFormattedCitation":"[166]"},"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[166]</w:t>
            </w:r>
            <w:r w:rsidRPr="00565C02">
              <w:rPr>
                <w:rFonts w:ascii="Times New Roman" w:hAnsi="Times New Roman" w:cs="Times New Roman"/>
              </w:rPr>
              <w:fldChar w:fldCharType="end"/>
            </w:r>
          </w:p>
        </w:tc>
      </w:tr>
      <w:tr w:rsidR="001F1402" w:rsidRPr="00565C02" w:rsidTr="00E65081">
        <w:trPr>
          <w:trHeight w:val="1016"/>
          <w:jc w:val="center"/>
        </w:trPr>
        <w:tc>
          <w:tcPr>
            <w:tcW w:w="1809"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NPs</w:t>
            </w:r>
          </w:p>
        </w:tc>
        <w:tc>
          <w:tcPr>
            <w:tcW w:w="229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 xml:space="preserve">Iron oxide, EDTA–PBS+2 </w:t>
            </w:r>
            <w:proofErr w:type="spellStart"/>
            <w:r w:rsidRPr="00565C02">
              <w:rPr>
                <w:rFonts w:ascii="Times New Roman" w:hAnsi="Times New Roman" w:cs="Times New Roman"/>
              </w:rPr>
              <w:t>mercaptoethanolamine</w:t>
            </w:r>
            <w:proofErr w:type="spellEnd"/>
            <w:r w:rsidRPr="00565C02">
              <w:rPr>
                <w:rFonts w:ascii="Times New Roman" w:hAnsi="Times New Roman" w:cs="Times New Roman"/>
              </w:rPr>
              <w:t xml:space="preserve"> kit</w:t>
            </w:r>
          </w:p>
        </w:tc>
        <w:tc>
          <w:tcPr>
            <w:tcW w:w="1915"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anti-HER2 antibody</w:t>
            </w:r>
          </w:p>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TZ on iron oxide</w:t>
            </w:r>
          </w:p>
        </w:tc>
        <w:tc>
          <w:tcPr>
            <w:tcW w:w="141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HER2+ BC</w:t>
            </w:r>
          </w:p>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MDA-MB-468</w:t>
            </w:r>
          </w:p>
        </w:tc>
        <w:tc>
          <w:tcPr>
            <w:tcW w:w="2083"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Improved binding (≥ 97%) HER2+ cells</w:t>
            </w:r>
          </w:p>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Increased cytotoxicity of TZ NPs in HER2+ BC cells</w:t>
            </w:r>
          </w:p>
        </w:tc>
        <w:tc>
          <w:tcPr>
            <w:tcW w:w="1191"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10.1038/s41598-018-24968-x","author":[{"dropping-particle":"","family":"Truffi","given":"Marta","non-dropping-particle":"","parse-names":false,"suffix":""},{"dropping-particle":"","family":"Colombo","given":"Miriam","non-dropping-particle":"","parse-names":false,"suffix":""},{"dropping-particle":"","family":"Sorrentino","given":"Luca","non-dropping-particle":"","parse-names":false,"suffix":""},{"dropping-particle":"","family":"Pando","given":"Laura","non-dropping-particle":"","parse-names":false,"suffix":""},{"dropping-particle":"","family":"Mazzucchelli","given":"Serena","non-dropping-particle":"","parse-names":false,"suffix":""},{"dropping-particle":"","family":"Pappalardo","given":"Francesco","non-dropping-particle":"","parse-names":false,"suffix":""},{"dropping-particle":"","family":"Pacini","given":"Chiara","non-dropping-particle":"","parse-names":false,"suffix":""},{"dropping-particle":"","family":"Allevi","given":"Raffaele","non-dropping-particle":"","parse-names":false,"suffix":""},{"dropping-particle":"","family":"Bonizzi","given":"Arianna","non-dropping-particle":"","parse-names":false,"suffix":""},{"dropping-particle":"","family":"Corsi","given":"Fabio","non-dropping-particle":"","parse-names":false,"suffix":""},{"dropping-particle":"","family":"Prosperi","given":"Davide","non-dropping-particle":"","parse-names":false,"suffix":""}],"id":"ITEM-1","issue":"November 2017","issued":{"date-parts":[["2018"]]},"page":"1-11","title":"Multivalent exposure of trastuzumab on iron oxide nanoparticles improves antitumor potential and reduces resistance in HER2-positive breast cancer cells","type":"article-journal"},"uris":["http://www.mendeley.com/documents/?uuid=afc174d6-8096-4fa0-b970-bc03427bdd54"]}],"mendeley":{"formattedCitation":"[167]","plainTextFormattedCitation":"[167]","previouslyFormattedCitation":"[167]"},"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[167]</w:t>
            </w:r>
            <w:r w:rsidRPr="00565C02">
              <w:rPr>
                <w:rFonts w:ascii="Times New Roman" w:hAnsi="Times New Roman" w:cs="Times New Roman"/>
              </w:rPr>
              <w:fldChar w:fldCharType="end"/>
            </w:r>
          </w:p>
        </w:tc>
      </w:tr>
      <w:tr w:rsidR="001F1402" w:rsidRPr="00565C02" w:rsidTr="00E65081">
        <w:trPr>
          <w:trHeight w:val="1016"/>
          <w:jc w:val="center"/>
        </w:trPr>
        <w:tc>
          <w:tcPr>
            <w:tcW w:w="1809"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SLNPs of tamoxifen</w:t>
            </w:r>
          </w:p>
        </w:tc>
        <w:tc>
          <w:tcPr>
            <w:tcW w:w="229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TMX</w:t>
            </w:r>
          </w:p>
        </w:tc>
        <w:tc>
          <w:tcPr>
            <w:tcW w:w="1915"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TMX</w:t>
            </w:r>
          </w:p>
        </w:tc>
        <w:tc>
          <w:tcPr>
            <w:tcW w:w="141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MCF7 and MCF7-TamR</w:t>
            </w:r>
          </w:p>
        </w:tc>
        <w:tc>
          <w:tcPr>
            <w:tcW w:w="2083"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Improved TAM efficacy and abolished Tam resistance by inducing death</w:t>
            </w:r>
          </w:p>
        </w:tc>
        <w:tc>
          <w:tcPr>
            <w:tcW w:w="1191"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{"citationItems":[{"id":"ITEM-1","itemData":{"DOI":"10.1016/J.ACTBIO.2017.11.010","ISSN":"1742-7061","PMID":"29129789","abstract":"In the present study, a dual pH-responsive multifunctional nanoparticle system was designed for combining immunotherapy and chemotherapy to treat breast cancer through targeting immune cells and cancer cells. A proven anti-tumor immune regulator, R848, was encapsulated with poly(L-histidine) (PHIS) to form PHIS/R848 nanocores. Doxorubicin (DOX) was conjugated to hyaluronic acid (HA) through an acid-cleavable hydrazone bond linkage to synthesize polymeric prodrug HA-DOX, which was subsequently coated outside PHIS/R848 nanocores to form HA-DOX/PHIS/R848 nanoparticles. Ionization of PHIS around pH 6.5 (a pH value close to that of tumor microenvironment) switched the nature of this material from hydrophobic to hydrophilic, and thus triggered the release of R848 to exert immunoregulatory action. The rupture of hydrazone bond in HA-DOX at about pH 5.5 (pH of endo/lysosomes) accelerated the release of DOX to exert cytotoxic effects. In immune cells, PHIS/R848 nanocores exhibited strong immunoregulatory activities similar to those induced by free R848. In breast cancer cells overexpressing CD44, HA-DOX was specially internalized by CD44-mediated endocytosis and significantly inhibited the cell growth. In 4T1 tumor-bearing mice, HA-DOX/PHIS/R848 nanoparticles showed excellent tumor-targeting ability and remarkably inhibited the tumor growth by regulating tumor immunity and killing tumor cells. In summary, this multifunctional nanoparticle system could deliver R848 and DOX respectively to tumor microenvironment and breast cancer cells to achieve synergistic effects of immunotherapy and chemotherapy against breast cancer. Statement of Significance Combination of immunotherapy and chemotherapy is becoming a promising new treatment for cancer. The major challenge is to target cancer and immune cells simultaneously and specifically. In this study, a dual pH-responsive multifunctional nanoparticle system based on poly(L-histidine) and hyaluronic acid was designed for co-loading R848 (immune-regulator) and doxorubicin (chemotherapeutic drug) through different encapsulation modes. By responding to the acidic pHs of tumor microenvironment and intracellular organelles, this multifunctional nanoparticle system could release R848 extracellularly and deliver DOX targetedly to breast cancer cells, thus achieving synergistic effects of immunotherapy and chemotherapy against breast cancer.","author":[{"dropping-particle":"","family":"Liu","given":"Yuanyuan","non-dropping-particle":"","parse-names":false,"suffix":""},{"dropping-particle":"","family":"Qiao","given":"Linan","non-dropping-particle":"","parse-names":false,"suffix":""},{"dropping-particle":"","family":"Zhang","given":"Sipei","non-dropping-particle":"","parse-names":false,"suffix":""},{"dropping-particle":"","family":"Wan","given":"Guoyun","non-dropping-particle":"","parse-names":false,"suffix":""},{"dropping-particle":"","family":"Chen","given":"Bowei","non-dropping-particle":"","parse-names":false,"suffix":""},{"dropping-particle":"","family":"Zhou","given":"Ping","non-dropping-particle":"","parse-names":false,"suffix":""},{"dropping-particle":"","family":"Zhang","given":"Ning","non-dropping-particle":"","parse-names":false,"suffix":""},{"dropping-particle":"","family":"Wang","given":"Yinsong","non-dropping-particle":"","parse-names":false,"suffix":""}],"container-title":"Acta Biomaterialia","id":"ITEM-1","issued":{"date-parts":[["2018","1"]]},"page":"310-324","publisher":"Elsevier","title":"Dual pH-responsive multifunctional nanoparticles for targeted treatment of breast cancer by combining immunotherapy and chemotherapy","type":"article-journal","volume":"66"},"uris":["http://www.mendeley.com/documents/?uuid=a91f627d-63b5-400a-9099-daf02cb73e73"]}],"mendeley":{"formattedCitation":"[168]","plainTextFormattedCitation":"[168]","previouslyFormattedCitation":"[168]"},"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[168]</w:t>
            </w:r>
            <w:r w:rsidRPr="00565C02">
              <w:rPr>
                <w:rFonts w:ascii="Times New Roman" w:hAnsi="Times New Roman" w:cs="Times New Roman"/>
              </w:rPr>
              <w:fldChar w:fldCharType="end"/>
            </w:r>
          </w:p>
        </w:tc>
      </w:tr>
      <w:tr w:rsidR="001F1402" w:rsidRPr="00565C02" w:rsidTr="00E65081">
        <w:trPr>
          <w:trHeight w:val="1016"/>
          <w:jc w:val="center"/>
        </w:trPr>
        <w:tc>
          <w:tcPr>
            <w:tcW w:w="1809"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H-Ferritin-</w:t>
            </w:r>
            <w:proofErr w:type="spellStart"/>
            <w:r w:rsidRPr="00565C02">
              <w:rPr>
                <w:rFonts w:ascii="Times New Roman" w:hAnsi="Times New Roman" w:cs="Times New Roman"/>
              </w:rPr>
              <w:t>nanocaged</w:t>
            </w:r>
            <w:proofErr w:type="spellEnd"/>
            <w:r w:rsidRPr="00565C02">
              <w:rPr>
                <w:rFonts w:ascii="Times New Roman" w:hAnsi="Times New Roman" w:cs="Times New Roman"/>
              </w:rPr>
              <w:t xml:space="preserve"> </w:t>
            </w:r>
            <w:proofErr w:type="spellStart"/>
            <w:r w:rsidRPr="00565C02">
              <w:rPr>
                <w:rFonts w:ascii="Times New Roman" w:hAnsi="Times New Roman" w:cs="Times New Roman"/>
              </w:rPr>
              <w:t>Olaparib</w:t>
            </w:r>
            <w:proofErr w:type="spellEnd"/>
          </w:p>
        </w:tc>
        <w:tc>
          <w:tcPr>
            <w:tcW w:w="2297" w:type="dxa"/>
          </w:tcPr>
          <w:p w:rsidR="001F1402" w:rsidRPr="00565C02" w:rsidRDefault="001F1402" w:rsidP="00E65081">
            <w:pPr>
              <w:spacing w:line="276" w:lineRule="auto"/>
              <w:jc w:val="both"/>
              <w:rPr>
                <w:rFonts w:ascii="Times New Roman" w:hAnsi="Times New Roman" w:cs="Times New Roman"/>
              </w:rPr>
            </w:pPr>
            <w:proofErr w:type="gramStart"/>
            <w:r w:rsidRPr="00565C02">
              <w:rPr>
                <w:rFonts w:ascii="Times New Roman" w:hAnsi="Times New Roman" w:cs="Times New Roman"/>
              </w:rPr>
              <w:t>Cu(</w:t>
            </w:r>
            <w:proofErr w:type="gramEnd"/>
            <w:r w:rsidRPr="00565C02">
              <w:rPr>
                <w:rFonts w:ascii="Times New Roman" w:hAnsi="Times New Roman" w:cs="Times New Roman"/>
              </w:rPr>
              <w:t>II)</w:t>
            </w:r>
          </w:p>
        </w:tc>
        <w:tc>
          <w:tcPr>
            <w:tcW w:w="1915"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H-Ferritin nano formulated</w:t>
            </w:r>
          </w:p>
          <w:p w:rsidR="001F1402" w:rsidRPr="00565C02" w:rsidRDefault="001F1402" w:rsidP="00E65081">
            <w:pPr>
              <w:spacing w:line="276" w:lineRule="auto"/>
              <w:jc w:val="both"/>
              <w:rPr>
                <w:rFonts w:ascii="Times New Roman" w:hAnsi="Times New Roman" w:cs="Times New Roman"/>
              </w:rPr>
            </w:pPr>
            <w:proofErr w:type="spellStart"/>
            <w:r w:rsidRPr="00565C02">
              <w:rPr>
                <w:rFonts w:ascii="Times New Roman" w:hAnsi="Times New Roman" w:cs="Times New Roman"/>
              </w:rPr>
              <w:t>Olaparib</w:t>
            </w:r>
            <w:proofErr w:type="spellEnd"/>
            <w:r w:rsidRPr="00565C02">
              <w:rPr>
                <w:rFonts w:ascii="Times New Roman" w:hAnsi="Times New Roman" w:cs="Times New Roman"/>
              </w:rPr>
              <w:t xml:space="preserve"> (</w:t>
            </w:r>
            <w:proofErr w:type="gramStart"/>
            <w:r w:rsidRPr="00565C02">
              <w:rPr>
                <w:rFonts w:ascii="Times New Roman" w:hAnsi="Times New Roman" w:cs="Times New Roman"/>
              </w:rPr>
              <w:t>Poly(</w:t>
            </w:r>
            <w:proofErr w:type="gramEnd"/>
            <w:r w:rsidRPr="00565C02">
              <w:rPr>
                <w:rFonts w:ascii="Times New Roman" w:hAnsi="Times New Roman" w:cs="Times New Roman"/>
              </w:rPr>
              <w:t>ADP-ribose)</w:t>
            </w:r>
          </w:p>
        </w:tc>
        <w:tc>
          <w:tcPr>
            <w:tcW w:w="141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BRCA-mutated and nonmutated</w:t>
            </w:r>
          </w:p>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TNBC cells</w:t>
            </w:r>
          </w:p>
        </w:tc>
        <w:tc>
          <w:tcPr>
            <w:tcW w:w="2083"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 xml:space="preserve">Increased antitumor activity or </w:t>
            </w:r>
            <w:proofErr w:type="spellStart"/>
            <w:r w:rsidRPr="00565C02">
              <w:rPr>
                <w:rFonts w:ascii="Times New Roman" w:hAnsi="Times New Roman" w:cs="Times New Roman"/>
              </w:rPr>
              <w:t>Olaparib</w:t>
            </w:r>
            <w:proofErr w:type="spellEnd"/>
            <w:r w:rsidRPr="00565C02">
              <w:rPr>
                <w:rFonts w:ascii="Times New Roman" w:hAnsi="Times New Roman" w:cs="Times New Roman"/>
              </w:rPr>
              <w:t xml:space="preserve"> up to 1000X</w:t>
            </w:r>
          </w:p>
        </w:tc>
        <w:tc>
          <w:tcPr>
            <w:tcW w:w="1191"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{"citationItems":[{"id":"ITEM-1","itemData":{"DOI":"10.1038/s41598-017-07617-7","ISSN":"20452322","PMID":"28790402","abstract":"Poly(ADP-ribose) polymerase (PARP) inhibitors represent a promising strategy toward the treatment of triple-negative breast cancer (TNBC), which is often associated to genomic instability and/or BRCA mutations. However, clinical outcome is controversial and no benefits have been demonstrated in wild type BRCA cancers, possibly due to poor drug bioavailability and low nuclear delivery. In the attempt to overcome these limitations, we have developed H-Ferritin nanoformulated olaparib (HOla) and assessed its anticancer efficacy on both BRCA-mutated and non-mutated TNBC cells. We exploited the natural tumor targeting of H-Ferritin, which is mediated by the transferrin receptor-1 (TfR1), and its physiological tropism toward cell nucleus. TNBC cell lines over-expressing TfR-1 were successfully recognized by H-Ferritin, displaying a fast internalization into the cells. HOla induced remarkable cytotoxic effect in cancer cells, exhibiting 1000-fold higher anticancer activity compared to free olaparib (Ola). Accordingly, HOla treatment enhanced PARP-1 cleavage, DNA double strand breaks and Ola delivery into the nuclear compartment. Our findings suggest that H-Ferritin nanoformulation strongly enhances cytotoxic efficacy of Ola as a stand-alone therapy in both BRCA-mutated and wild type TNBC cells, by promoting targeted nuclear delivery.","author":[{"dropping-particle":"","family":"Mazzucchelli","given":"S.","non-dropping-particle":"","parse-names":false,"suffix":""},{"dropping-particle":"","family":"Truffi","given":"M.","non-dropping-particle":"","parse-names":false,"suffix":""},{"dropping-particle":"","family":"Baccarini","given":"F.","non-dropping-particle":"","parse-names":false,"suffix":""},{"dropping-particle":"","family":"Beretta","given":"M.","non-dropping-particle":"","parse-names":false,"suffix":""},{"dropping-particle":"","family":"Sorrentino","given":"L.","non-dropping-particle":"","parse-names":false,"suffix":""},{"dropping-particle":"","family":"Bellini","given":"M.","non-dropping-particle":"","parse-names":false,"suffix":""},{"dropping-particle":"","family":"Rizzuto","given":"M. A.","non-dropping-particle":"","parse-names":false,"suffix":""},{"dropping-particle":"","family":"Ottria","given":"R.","non-dropping-particle":"","parse-names":false,"suffix":""},{"dropping-particle":"","family":"Ravelli","given":"A.","non-dropping-particle":"","parse-names":false,"suffix":""},{"dropping-particle":"","family":"Ciuffreda","given":"P.","non-dropping-particle":"","parse-names":false,"suffix":""},{"dropping-particle":"","family":"Prosperi","given":"D.","non-dropping-particle":"","parse-names":false,"suffix":""},{"dropping-particle":"","family":"Corsi","given":"F.","non-dropping-particle":"","parse-names":false,"suffix":""}],"container-title":"Scientific Reports","id":"ITEM-1","issue":"1","issued":{"date-parts":[["2017"]]},"page":"1-15","title":"H-Ferritin-nanocaged olaparib: A promising choice for both BRCA-mutated and sporadic triple negative breast cancer","type":"article-journal","volume":"7"},"uris":["http://www.mendeley.com/documents/?uuid=4742189a-26c5-476a-8deb-eb39061f6350"]}],"mendeley":{"formattedCitation":"[169]","plainTextFormattedCitation":"[169]","previouslyFormattedCitation":"[169]"},"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[169]</w:t>
            </w:r>
            <w:r w:rsidRPr="00565C02">
              <w:rPr>
                <w:rFonts w:ascii="Times New Roman" w:hAnsi="Times New Roman" w:cs="Times New Roman"/>
              </w:rPr>
              <w:fldChar w:fldCharType="end"/>
            </w:r>
          </w:p>
        </w:tc>
      </w:tr>
      <w:tr w:rsidR="001F1402" w:rsidRPr="00565C02" w:rsidTr="00E65081">
        <w:trPr>
          <w:trHeight w:val="1016"/>
          <w:jc w:val="center"/>
        </w:trPr>
        <w:tc>
          <w:tcPr>
            <w:tcW w:w="1809"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Gold NPs</w:t>
            </w:r>
          </w:p>
        </w:tc>
        <w:tc>
          <w:tcPr>
            <w:tcW w:w="229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FA, Glucose, and glutamine as targeting</w:t>
            </w:r>
          </w:p>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agent</w:t>
            </w:r>
          </w:p>
        </w:tc>
        <w:tc>
          <w:tcPr>
            <w:tcW w:w="1915"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Gold</w:t>
            </w:r>
          </w:p>
        </w:tc>
        <w:tc>
          <w:tcPr>
            <w:tcW w:w="141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Breast cancer cell</w:t>
            </w:r>
          </w:p>
        </w:tc>
        <w:tc>
          <w:tcPr>
            <w:tcW w:w="2083"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 xml:space="preserve">Improve tumor-specificity and radio </w:t>
            </w:r>
            <w:r w:rsidRPr="00565C02">
              <w:rPr>
                <w:rFonts w:ascii="Times New Roman" w:hAnsi="Times New Roman" w:cs="Times New Roman"/>
              </w:rPr>
              <w:lastRenderedPageBreak/>
              <w:t>sensitizing ability of BSA-GNPs</w:t>
            </w:r>
          </w:p>
        </w:tc>
        <w:tc>
          <w:tcPr>
            <w:tcW w:w="1191"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lastRenderedPageBreak/>
              <w:fldChar w:fldCharType="begin" w:fldLock="1"/>
            </w:r>
            <w:r>
              <w:rPr>
                <w:rFonts w:ascii="Times New Roman" w:hAnsi="Times New Roman" w:cs="Times New Roman"/>
              </w:rPr>
              <w:instrText>ADDIN CSL_CITATION {"citationItems":[{"id":"ITEM-1","itemData":{"DOI":"10.1016/J.CCLET.2018.02.011","ISSN":"1001-8417","abstract":"Cancer activated protein-inorganic nanoparticles can be cancer targeting turn-on imaging and therapy agents. Although various techniques were successfully employed for development of hybrid protein-inorganic nanoparticles, cancer cell activated protein-inorganic nanoparticles have been challengeable. Herein, a cancer cell responsive nanoparticle (PDAMn-CuS@BSA-FA, NPs) was constructed and characterized. It is found that the quenching interaction of dyes (PDA) and central metal in NPs can be adjusted by CH3O-PEG-phosphatide or the cancer cells, hence, NPs showed turn-on fluorescence emission with the titration of CH3O-PEG-phosphatide. In particular, breast cancer cells lysis can switch on the green emission greatly, while normal cells show less effect. Breast cancer cells turn-on fluorescence imaging and mitochondria targeting imaging demonstrate that the NPs can sense breast cancer cells and enter mitochondria. Therefore, NPs can be both breast cancer targeting nanosensor.","author":[{"dropping-particle":"","family":"Yang","given":"Huan","non-dropping-particle":"","parse-names":false,"suffix":""},{"dropping-particle":"","family":"Liang","given":"Hongjuan","non-dropping-particle":"","parse-names":false,"suffix":""},{"dropping-particle":"","family":"Xie","given":"Yuwen","non-dropping-particle":"","parse-names":false,"suffix":""},{"dropping-particle":"","family":"Chen","given":"Qiuyun","non-dropping-particle":"","parse-names":false,"suffix":""}],"container-title":"Chinese Chemical Letters","id":"ITEM-1","issue":"10","issued":{"date-parts":[["2018","10"]]},"page":"1528-1532","publisher":"Elsevier","title":"A cancer cell turn-on protein-CuSMn nanoparticle as the sensor of breast cancer cell and CH3O-PEG-phosphatide","type":"article-journal","volume":"29"},"uris":["http://www.mendeley.com/documents/?uuid=43c12f56-ff34-4a65-bd17-f747032fd6c4"]}],"mendeley":{"formattedCitation":"[170]","plainTextFormattedCitation":"[170]","previouslyFormattedCitation":"[170]"},"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[170]</w:t>
            </w:r>
            <w:r w:rsidRPr="00565C02">
              <w:rPr>
                <w:rFonts w:ascii="Times New Roman" w:hAnsi="Times New Roman" w:cs="Times New Roman"/>
              </w:rPr>
              <w:fldChar w:fldCharType="end"/>
            </w:r>
          </w:p>
        </w:tc>
      </w:tr>
      <w:tr w:rsidR="001F1402" w:rsidRPr="00565C02" w:rsidTr="00E65081">
        <w:trPr>
          <w:trHeight w:val="1016"/>
          <w:jc w:val="center"/>
        </w:trPr>
        <w:tc>
          <w:tcPr>
            <w:tcW w:w="1809"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NanoMIL-100(Fe): DTX</w:t>
            </w:r>
          </w:p>
        </w:tc>
        <w:tc>
          <w:tcPr>
            <w:tcW w:w="229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FeCl3.6H2O</w:t>
            </w:r>
          </w:p>
        </w:tc>
        <w:tc>
          <w:tcPr>
            <w:tcW w:w="1915"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DTX</w:t>
            </w:r>
          </w:p>
        </w:tc>
        <w:tc>
          <w:tcPr>
            <w:tcW w:w="141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Human BC cell line, MCF-7</w:t>
            </w:r>
          </w:p>
        </w:tc>
        <w:tc>
          <w:tcPr>
            <w:tcW w:w="2083"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 xml:space="preserve">Adverse effects of DTX reduced </w:t>
            </w:r>
          </w:p>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IC</w:t>
            </w:r>
            <w:r w:rsidRPr="00565C02">
              <w:rPr>
                <w:rFonts w:ascii="Times New Roman" w:hAnsi="Times New Roman" w:cs="Times New Roman"/>
                <w:vertAlign w:val="subscript"/>
              </w:rPr>
              <w:t>50</w:t>
            </w:r>
            <w:r w:rsidRPr="00565C02">
              <w:rPr>
                <w:rFonts w:ascii="Times New Roman" w:hAnsi="Times New Roman" w:cs="Times New Roman"/>
              </w:rPr>
              <w:t xml:space="preserve"> value was observed 0.198 lµ/mL at first 24 hours</w:t>
            </w:r>
          </w:p>
        </w:tc>
        <w:tc>
          <w:tcPr>
            <w:tcW w:w="1191"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{"citationItems":[{"id":"ITEM-1","itemData":{"DOI":"10.1016/J.EJPS.2019.01.037","ISSN":"0928-0987","PMID":"30711685","abstract":"Gold nanoparticles (GNPs) radiosensitizing effect strongly depends on the tumor targeting efficacy. The aim of this study is to identify the most ideal targeting decoration for BSA-GNPs according to tumor targeting and biodistribution. Therefore, three well-known targeting agents (folic acid, glucose, and glutamine) were utilized for BSA-GNPs decoration. Glucose-BSA-GNPs, glutamine-BSA-GNPs, and folic acid-BSA-GNPs were synthesized and then, characterized by Fourier-transform infrared spectroscopy and UV-Spectrometry. Then, the GNPs were intravenously injected 10 mg/kg to 4T1 breast tumor-bearing mice to evaluate biodistribution and radiosensitizing effects. Folic acid and glutamine decorations could significantly increase tumor targeting efficacy of BSA-GNPs as 2.1 and 2.4 times increase of gold accumulation was detected in comparison with BSA-GNPs. They exhibited the highest radiosensitizing efficacy and caused about 33% decrease in tumors volume in comparison with BSA-GNPs after 6 Gy radiation therapy. All the GNPs were completely biocompatible. Although, glutamine-BSA-GNPs and folic acid-BSA-GNPs could significantly enhance the tumor targeting and radiosensitizing efficacy of BSA-GNPs, did not exhibit any significant advantage over each other. Therefore, glutamine and folic acid decoration of BSA-GNPs can significantly increase the tumor targeting and therapeutic efficacy as radiosensitizer.","author":[{"dropping-particle":"","family":"Kefayat","given":"Amirhosein","non-dropping-particle":"","parse-names":false,"suffix":""},{"dropping-particle":"","family":"Ghahremani","given":"Fatemeh","non-dropping-particle":"","parse-names":false,"suffix":""},{"dropping-particle":"","family":"Motaghi","given":"Hasan","non-dropping-particle":"","parse-names":false,"suffix":""},{"dropping-particle":"","family":"Mehrgardi","given":"Masoud A.","non-dropping-particle":"","parse-names":false,"suffix":""}],"container-title":"European Journal of Pharmaceutical Sciences","id":"ITEM-1","issued":{"date-parts":[["2019","3"]]},"page":"225-233","publisher":"Elsevier","title":"Investigation of different targeting decorations effect on the radiosensitizing efficacy of albumin-stabilized gold nanoparticles for breast cancer radiation therapy","type":"article-journal","volume":"130"},"uris":["http://www.mendeley.com/documents/?uuid=1d6c4752-7ebd-49d4-815b-b063977b40b1"]}],"mendeley":{"formattedCitation":"[171]","plainTextFormattedCitation":"[171]","previouslyFormattedCitation":"[171]"},"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[171]</w:t>
            </w:r>
            <w:r w:rsidRPr="00565C02">
              <w:rPr>
                <w:rFonts w:ascii="Times New Roman" w:hAnsi="Times New Roman" w:cs="Times New Roman"/>
              </w:rPr>
              <w:fldChar w:fldCharType="end"/>
            </w:r>
          </w:p>
        </w:tc>
      </w:tr>
      <w:tr w:rsidR="001F1402" w:rsidRPr="00565C02" w:rsidTr="00E65081">
        <w:trPr>
          <w:trHeight w:val="1016"/>
          <w:jc w:val="center"/>
        </w:trPr>
        <w:tc>
          <w:tcPr>
            <w:tcW w:w="1809"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AuNPs</w:t>
            </w:r>
          </w:p>
        </w:tc>
        <w:tc>
          <w:tcPr>
            <w:tcW w:w="229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Lactose, phthalocyanine</w:t>
            </w:r>
          </w:p>
        </w:tc>
        <w:tc>
          <w:tcPr>
            <w:tcW w:w="1915"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Au</w:t>
            </w:r>
          </w:p>
        </w:tc>
        <w:tc>
          <w:tcPr>
            <w:tcW w:w="141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Galectin-1 receptor on the</w:t>
            </w:r>
          </w:p>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the surface of BC cells</w:t>
            </w:r>
          </w:p>
        </w:tc>
        <w:tc>
          <w:tcPr>
            <w:tcW w:w="2083"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Lactose has been shown to be a particular targeting molecule for galactose-binding proteins</w:t>
            </w:r>
          </w:p>
        </w:tc>
        <w:tc>
          <w:tcPr>
            <w:tcW w:w="1191"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{"citationItems":[{"id":"ITEM-1","itemData":{"DOI":"10.1080/21691401.2017.1369425/SUPPL_FILE/IANB_A_1369425_SM6773.DOCX","ISSN":"2169141X","PMID":"28838252","abstract":"Metal-organic frameworks, such as MIL-100, have been recently introduced as promising drug carriers due to their notable characteristics such as stability, biocompatibility and owning large porosity which may admit a broad range of drugs with different molecular sizes. In this study, we firstly proposed an accessible top-down approach using ultrasound method to prepare nanoMIL-100 and secondly, evaluated its potentials as an anticancer nanocarrier. This is the first report that docetaxel (DTX) as a highly hydrophobic anticancer drug was encapsulated in nanoMIL-100 with the drug payload of 57.2 wt%. Characterizations of the prepared nanoMIL-100 and DTX-loaded nanoMIL-100 were performed by PXRD, FT-IR, N2 adsorption, DLS and FE-SEM. Moreover, the drug loading and release processes were quantified by HPLC. The in vitro release of DTX from the prepared nanocarrier was investigated in two pH values, 7.4 and 5.5. The toxic effect of DTX-loaded nanoMIL-100 was examined on human breast cancer cell line, MCF-7, and a significant decrease was observed in IC50 value (0.198 μg/mL) at the first 24 h in comparison with the free drug (4.9908 μg/mL). This nanocarrier may, thus offer promising potentials as a novel cytotoxic drug delivery system.","author":[{"dropping-particle":"","family":"Rezaei","given":"Mahsa","non-dropping-particle":"","parse-names":false,"suffix":""},{"dropping-particle":"","family":"Abbasi","given":"Alireza","non-dropping-particle":"","parse-names":false,"suffix":""},{"dropping-particle":"","family":"Varshochian","given":"Reyhaneh","non-dropping-particle":"","parse-names":false,"suffix":""},{"dropping-particle":"","family":"Dinarvand","given":"Rassoul","non-dropping-particle":"","parse-names":false,"suffix":""},{"dropping-particle":"","family":"Jeddi-Tehrani","given":"Mahmood","non-dropping-particle":"","parse-names":false,"suffix":""}],"container-title":"Artificial Cells, Nanomedicine and Biotechnology","id":"ITEM-1","issue":"7","issued":{"date-parts":[["2018","10"]]},"page":"1390-1401","publisher":"Taylor and Francis Ltd.","title":"NanoMIL-100(Fe) containing docetaxel for breast cancer therapy","type":"article-journal","volume":"46"},"uris":["http://www.mendeley.com/documents/?uuid=cd21ec33-3df8-48b2-b7dd-28b3e90440c8"]}],"mendeley":{"formattedCitation":"[172]","plainTextFormattedCitation":"[172]","previouslyFormattedCitation":"[172]"},"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[172]</w:t>
            </w:r>
            <w:r w:rsidRPr="00565C02">
              <w:rPr>
                <w:rFonts w:ascii="Times New Roman" w:hAnsi="Times New Roman" w:cs="Times New Roman"/>
              </w:rPr>
              <w:fldChar w:fldCharType="end"/>
            </w:r>
          </w:p>
        </w:tc>
      </w:tr>
      <w:tr w:rsidR="001F1402" w:rsidRPr="00565C02" w:rsidTr="00E65081">
        <w:trPr>
          <w:trHeight w:val="1016"/>
          <w:jc w:val="center"/>
        </w:trPr>
        <w:tc>
          <w:tcPr>
            <w:tcW w:w="1809"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AS1411 aptamer</w:t>
            </w:r>
          </w:p>
        </w:tc>
        <w:tc>
          <w:tcPr>
            <w:tcW w:w="229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Aptamer-functionalized albumin, iron oxide, Au</w:t>
            </w:r>
          </w:p>
        </w:tc>
        <w:tc>
          <w:tcPr>
            <w:tcW w:w="1915"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Gold, DOX</w:t>
            </w:r>
          </w:p>
        </w:tc>
        <w:tc>
          <w:tcPr>
            <w:tcW w:w="141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MCF7 and SKBR3 human</w:t>
            </w:r>
          </w:p>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CCs</w:t>
            </w:r>
          </w:p>
        </w:tc>
        <w:tc>
          <w:tcPr>
            <w:tcW w:w="2083"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Boosted cellular intake and activity</w:t>
            </w:r>
          </w:p>
          <w:p w:rsidR="001F1402" w:rsidRPr="00565C02" w:rsidRDefault="001F1402" w:rsidP="00E65081">
            <w:pPr>
              <w:spacing w:line="276" w:lineRule="auto"/>
              <w:jc w:val="both"/>
              <w:rPr>
                <w:rFonts w:ascii="Times New Roman" w:hAnsi="Times New Roman" w:cs="Times New Roman"/>
              </w:rPr>
            </w:pPr>
          </w:p>
          <w:p w:rsidR="001F1402" w:rsidRPr="00565C02" w:rsidRDefault="001F1402" w:rsidP="00E65081">
            <w:pPr>
              <w:spacing w:line="276" w:lineRule="auto"/>
              <w:jc w:val="both"/>
              <w:rPr>
                <w:rFonts w:ascii="Times New Roman" w:hAnsi="Times New Roman" w:cs="Times New Roman"/>
              </w:rPr>
            </w:pPr>
          </w:p>
        </w:tc>
        <w:tc>
          <w:tcPr>
            <w:tcW w:w="1191"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{"citationItems":[{"id":"ITEM-1","itemData":{"DOI":"10.1021/ACSAMI.7B19503/SUPPL_FILE/AM7B19503_SI_001.PDF","ISSN":"19448252","PMID":"29457709","abstract":"Judicious combination of semiconducting polymers with alternating electron donor (D) and acceptor (A) segments created hybrid nanoparticles with amplified energy transfer and red-shifted emission, while simultaneously providing photothermal capabilities. Hybrid D-A polymer particles (H-DAPPs) passively localized within orthotopic breast tumors, serving as bright fluorescent beacons. Laser stimulation induced heat generation on par with gold nanorods, resulting in selective destruction of the tumor. H-DAPPs can also undergo multiple thermal treatments, with no loss of fluorescence intensity or photothermal potential. These results indicate that H-DAPPs provide new avenues for the synthesis of hybrid nanoparticles useful in localized detection and treatment of disease.","author":[{"dropping-particle":"","family":"Graham-Gurysh","given":"Elizabeth","non-dropping-particle":"","parse-names":false,"suffix":""},{"dropping-particle":"","family":"Kelkar","given":"Sneha","non-dropping-particle":"","parse-names":false,"suffix":""},{"dropping-particle":"","family":"McCabe-Lankford","given":"Eleanor","non-dropping-particle":"","parse-names":false,"suffix":""},{"dropping-particle":"","family":"Kuthirummal","given":"Narayanan","non-dropping-particle":"","parse-names":false,"suffix":""},{"dropping-particle":"","family":"Brown","given":"Theodore","non-dropping-particle":"","parse-names":false,"suffix":""},{"dropping-particle":"","family":"Kock","given":"Nancy D.","non-dropping-particle":"","parse-names":false,"suffix":""},{"dropping-particle":"","family":"Mohs","given":"Aaron M.","non-dropping-particle":"","parse-names":false,"suffix":""},{"dropping-particle":"","family":"Levi-Polyachenko","given":"Nicole","non-dropping-particle":"","parse-names":false,"suffix":""}],"container-title":"ACS Applied Materials and Interfaces","id":"ITEM-1","issue":"9","issued":{"date-parts":[["2018","3"]]},"page":"7697-7703","publisher":"American Chemical Society","title":"Hybrid Donor-Acceptor Polymer Particles with Amplified Energy Transfer for Detection and On-Demand Treatment of Breast Cancer","type":"article-journal","volume":"10"},"uris":["http://www.mendeley.com/documents/?uuid=10164007-6fff-4468-a07c-6eae9fecc4fd"]}],"mendeley":{"formattedCitation":"[173]","plainTextFormattedCitation":"[173]","previouslyFormattedCitation":"[173]"},"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[173]</w:t>
            </w:r>
            <w:r w:rsidRPr="00565C02">
              <w:rPr>
                <w:rFonts w:ascii="Times New Roman" w:hAnsi="Times New Roman" w:cs="Times New Roman"/>
              </w:rPr>
              <w:fldChar w:fldCharType="end"/>
            </w:r>
          </w:p>
        </w:tc>
      </w:tr>
      <w:tr w:rsidR="001F1402" w:rsidRPr="00565C02" w:rsidTr="00E65081">
        <w:trPr>
          <w:trHeight w:val="1016"/>
          <w:jc w:val="center"/>
        </w:trPr>
        <w:tc>
          <w:tcPr>
            <w:tcW w:w="1809"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Gold NPs with cullin-5 DNA</w:t>
            </w:r>
          </w:p>
        </w:tc>
        <w:tc>
          <w:tcPr>
            <w:tcW w:w="229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Chloroauric acid, Au, L-glutathione</w:t>
            </w:r>
          </w:p>
        </w:tc>
        <w:tc>
          <w:tcPr>
            <w:tcW w:w="1915"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Cullin-5 DNA</w:t>
            </w:r>
          </w:p>
        </w:tc>
        <w:tc>
          <w:tcPr>
            <w:tcW w:w="141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17-AAG in cullin-5</w:t>
            </w:r>
          </w:p>
        </w:tc>
        <w:tc>
          <w:tcPr>
            <w:tcW w:w="2083"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AuNPs expressing Cul5 DNA make Cul5 deficient AU565 cells more sensitive to 17-AAG and boost their cytotoxic effects.</w:t>
            </w:r>
          </w:p>
        </w:tc>
        <w:tc>
          <w:tcPr>
            <w:tcW w:w="1191"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{"citationItems":[{"id":"ITEM-1","itemData":{"DOI":"10.1016/J.JCONREL.2019.01.006","ISSN":"0168-3659","PMID":"30639386","abstract":"Cancer stem-like cells (CSCs) treatment is a plausible strategy for enhanced cancer therapy. Here we report a glucose-installed sub-50-nm nanocarrier for the targeted delivery of small interfering RNA (siRNA) to CSCs through selective recognition of the glucose ligand to the glucose transporter 1 (GLUT1) overexpressed on the CSC surface. The siRNA nanocarrier was constructed via a two-step assembling process. First, a glucose-installed poly(ethylene glycol)-block-poly(L-lysine) modified with lipoic acid (LA) at the ω-end (Glu-PEG-PLL-LA) was associated with a single siRNA to form a unimer polyion complex (uPIC). Second, a 20 nm gold nanoparticle (AuNP) was decorated with ~65 uPICs through Au–S bonding. The glucose-installed targeted nanoparticles (Glu-NPs) exhibited higher cellular uptake of siRNA payloads in a spheroid breast cancer (MBA-MB-231) cell culture compared with glucose-unconjugated control nanoparticles (MeO-NPs). Notably, the Glu-NPs became more efficiently internalized into the CSC fraction, which was defined by aldehyde dehydrogenase (ALDH) activity assay, than the other fractions, probably due to the higher GLUT1 expression level on the CSCs. The Glu-NPs elicited significantly enhanced gene silencing in a CSC-rich orthotopic MDA-MB-231 tumor tissue following systemic administration to tumor-bearing mice. Ultimately, the repeated administrations of polo-like kinase 1 (PLK1) siRNA-loaded Glu-NPs significantly suppressed the growth of orthotopic MDA-MB-231 tumors. These results demonstrate that Glu-NP is a promising nanocarrier design for CSC-targeted cancer treatment.","author":[{"dropping-particle":"","family":"Yi","given":"Yu","non-dropping-particle":"","parse-names":false,"suffix":""},{"dropping-particle":"","family":"Kim","given":"Hyun Jin","non-dropping-particle":"","parse-names":false,"suffix":""},{"dropping-particle":"","family":"Zheng","given":"Meng","non-dropping-particle":"","parse-names":false,"suffix":""},{"dropping-particle":"","family":"Mi","given":"Peng","non-dropping-particle":"","parse-names":false,"suffix":""},{"dropping-particle":"","family":"Naito","given":"Mitsuru","non-dropping-particle":"","parse-names":false,"suffix":""},{"dropping-particle":"","family":"Kim","given":"Beob Soo","non-dropping-particle":"","parse-names":false,"suffix":""},{"dropping-particle":"","family":"Min","given":"Hyun Su","non-dropping-particle":"","parse-names":false,"suffix":""},{"dropping-particle":"","family":"Hayashi","given":"Kotaro","non-dropping-particle":"","parse-names":false,"suffix":""},{"dropping-particle":"","family":"Perche","given":"Federico","non-dropping-particle":"","parse-names":false,"suffix":""},{"dropping-particle":"","family":"Toh","given":"Kazuko","non-dropping-particle":"","parse-names":false,"suffix":""},{"dropping-particle":"","family":"Liu","given":"Xueying","non-dropping-particle":"","parse-names":false,"suffix":""},{"dropping-particle":"","family":"Mochida","given":"Yuki","non-dropping-particle":"","parse-names":false,"suffix":""},{"dropping-particle":"","family":"Kinoh","given":"Hiroaki","non-dropping-particle":"","parse-names":false,"suffix":""},{"dropping-particle":"","family":"Cabral","given":"Horacio","non-dropping-particle":"","parse-names":false,"suffix":""},{"dropping-particle":"","family":"Miyata","given":"Kanjiro","non-dropping-particle":"","parse-names":false,"suffix":""},{"dropping-particle":"","family":"Kataoka","given":"Kazunori","non-dropping-particle":"","parse-names":false,"suffix":""}],"container-title":"Journal of Controlled Release","id":"ITEM-1","issued":{"date-parts":[["2019","2"]]},"page":"268-277","publisher":"Elsevier","title":"Glucose-linked sub-50-nm unimer polyion complex-assembled gold nanoparticles for targeted siRNA delivery to glucose transporter 1-overexpressing breast cancer stem-like cells","type":"article-journal","volume":"295"},"uris":["http://www.mendeley.com/documents/?uuid=28db0ef3-8e7f-4fdb-b59d-586676ea160d"]}],"mendeley":{"formattedCitation":"[174]","plainTextFormattedCitation":"[174]","previouslyFormattedCitation":"[174]"},"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[174]</w:t>
            </w:r>
            <w:r w:rsidRPr="00565C02">
              <w:rPr>
                <w:rFonts w:ascii="Times New Roman" w:hAnsi="Times New Roman" w:cs="Times New Roman"/>
              </w:rPr>
              <w:fldChar w:fldCharType="end"/>
            </w:r>
          </w:p>
        </w:tc>
      </w:tr>
      <w:tr w:rsidR="001F1402" w:rsidRPr="00565C02" w:rsidTr="00E65081">
        <w:trPr>
          <w:trHeight w:val="1016"/>
          <w:jc w:val="center"/>
        </w:trPr>
        <w:tc>
          <w:tcPr>
            <w:tcW w:w="1809"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FA conjugated graphene oxide grafted MAN</w:t>
            </w:r>
          </w:p>
          <w:p w:rsidR="001F1402" w:rsidRPr="00565C02" w:rsidRDefault="001F1402" w:rsidP="00E65081">
            <w:pPr>
              <w:spacing w:line="276" w:lineRule="auto"/>
              <w:jc w:val="both"/>
              <w:rPr>
                <w:rFonts w:ascii="Times New Roman" w:hAnsi="Times New Roman" w:cs="Times New Roman"/>
              </w:rPr>
            </w:pPr>
          </w:p>
        </w:tc>
        <w:tc>
          <w:tcPr>
            <w:tcW w:w="229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FA, methyl acrylate</w:t>
            </w:r>
          </w:p>
        </w:tc>
        <w:tc>
          <w:tcPr>
            <w:tcW w:w="1915"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PTX</w:t>
            </w:r>
          </w:p>
        </w:tc>
        <w:tc>
          <w:tcPr>
            <w:tcW w:w="141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FR/human BC cell line (MDA-MB-231)</w:t>
            </w:r>
          </w:p>
          <w:p w:rsidR="001F1402" w:rsidRPr="00565C02" w:rsidRDefault="001F1402" w:rsidP="00E65081">
            <w:pPr>
              <w:spacing w:line="276" w:lineRule="auto"/>
              <w:jc w:val="both"/>
              <w:rPr>
                <w:rFonts w:ascii="Times New Roman" w:hAnsi="Times New Roman" w:cs="Times New Roman"/>
              </w:rPr>
            </w:pPr>
          </w:p>
        </w:tc>
        <w:tc>
          <w:tcPr>
            <w:tcW w:w="2083"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i/>
                <w:iCs/>
              </w:rPr>
              <w:t>In vitro</w:t>
            </w:r>
            <w:r w:rsidRPr="00565C02">
              <w:rPr>
                <w:rFonts w:ascii="Times New Roman" w:hAnsi="Times New Roman" w:cs="Times New Roman"/>
              </w:rPr>
              <w:t xml:space="preserve">, the conjugation had a 39% anticancer potential, and </w:t>
            </w:r>
            <w:r w:rsidRPr="00565C02">
              <w:rPr>
                <w:rFonts w:ascii="Times New Roman" w:hAnsi="Times New Roman" w:cs="Times New Roman"/>
                <w:i/>
                <w:iCs/>
              </w:rPr>
              <w:t>in vivo</w:t>
            </w:r>
            <w:r w:rsidRPr="00565C02">
              <w:rPr>
                <w:rFonts w:ascii="Times New Roman" w:hAnsi="Times New Roman" w:cs="Times New Roman"/>
              </w:rPr>
              <w:t>, it significantly reduced breast tumors and mitochondrial citric acid enzymes to normal levels.</w:t>
            </w:r>
          </w:p>
        </w:tc>
        <w:tc>
          <w:tcPr>
            <w:tcW w:w="1191"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{"citationItems":[{"id":"ITEM-1","itemData":{"DOI":"10.2147/IJN.S190946","ISSN":"11782013","PMID":"30774336","abstract":"Background: Surface functionalization of gold nanoparticles (AuNPs) has emerged as a promising field of research with enormous biomedical applications. The folate (FA)-attached polymer-gold nanoconjugates play vital role in targeting the cancer cells. Methods: AuNPs were synthesized by using di-or tri-carboxylate-polyethylene glycol (PEG) polymers, including citrate-PEG (CPEG), malate-PEG (MAP), and tartrate-PEG (TAP), as a reducing and stabilizing agent. After synthesis of polymer-AuNPs, the freely available hydroxyl and carboxylate groups of CPEG, MAP, and TAP were used to attach a cancer cell-targeting agent, FA, via a 1-Ethyl-3-(3-dimethylaminopropyl) carbodiimide/N-hydroxy succinimide coupling reaction to obtain FA-CPEG-AuNP, FA-MAP-AuNP, and FA-TAP-AuNP nanoconjugates, respectively. The 5-fluorouracil (5FU) was attached to π back-bonded carbonyl oxygens of the nanoconjugates, and the in vitro drug release profile was studied by high pressure liquid chromatography. Biocompatibility profiles of the FA-CPEG-AuNP, FA-MAP-AuNP, and FA-TAP-AuNP nanoconjugates were investigated using adult human dermal fibroblasts. Anti-breast cancer activity of 5FU-loaded nanoconjugates was investigated using MCF-7 breast cancer cells. Results: X-ray photoelectron spectroscopy and Fourier-transform infrared spectroscopy analyses confirmed that AuNPs attached to CPEG, MAP, or TAP via the formation of π back bonding between AuNPs and the ester carbonyl group. The π back-bonded nanoconjugates exhibited sustained release of 5FU up to 27 days. FA-MAP-AuNPs exhibited an IC 50 at 5 µg/mL, while FA-CPEG-AuNPs and FA-TAP-AuNPs showed the IC 50 at 100 µg/mL toward MCF-7 cancer cells. Conclusion: The developed polymer π back-bonded multifunctional gold nanoconjugates could be used as a potential drug delivery system for targeting MCF-7 cancer cells.","author":[{"dropping-particle":"","family":"Gajendiran","given":"Mani","non-dropping-particle":"","parse-names":false,"suffix":""},{"dropping-particle":"","family":"Jo","given":"Heejung","non-dropping-particle":"","parse-names":false,"suffix":""},{"dropping-particle":"","family":"Kim","given":"Kyobum","non-dropping-particle":"","parse-names":false,"suffix":""},{"dropping-particle":"","family":"Balasubramanian","given":"Sengottuvelan","non-dropping-particle":"","parse-names":false,"suffix":""}],"container-title":"International Journal of Nanomedicine","id":"ITEM-1","issued":{"date-parts":[["2019","1"]]},"page":"819-834","publisher":"Dove Press","title":"&lt;p&gt;Green synthesis of multifunctional PEG-carboxylate &amp;pi; back-bonded gold nanoconjugates for breast cancer treatment&lt;/p&gt;","type":"article-journal","volume":"14"},"uris":["http://www.mendeley.com/documents/?uuid=6f162be8-3eb1-404b-9560-eacb7cf48165"]}],"mendeley":{"formattedCitation":"[175]","plainTextFormattedCitation":"[175]","previouslyFormattedCitation":"[175]"},"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[175]</w:t>
            </w:r>
            <w:r w:rsidRPr="00565C02">
              <w:rPr>
                <w:rFonts w:ascii="Times New Roman" w:hAnsi="Times New Roman" w:cs="Times New Roman"/>
              </w:rPr>
              <w:fldChar w:fldCharType="end"/>
            </w:r>
          </w:p>
        </w:tc>
      </w:tr>
      <w:tr w:rsidR="001F1402" w:rsidRPr="00565C02" w:rsidTr="00E65081">
        <w:trPr>
          <w:trHeight w:val="1016"/>
          <w:jc w:val="center"/>
        </w:trPr>
        <w:tc>
          <w:tcPr>
            <w:tcW w:w="1809"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CNT-drug complex</w:t>
            </w:r>
          </w:p>
        </w:tc>
        <w:tc>
          <w:tcPr>
            <w:tcW w:w="229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hydrophilic polymer, PEG, and β‑</w:t>
            </w:r>
            <w:proofErr w:type="spellStart"/>
            <w:r w:rsidRPr="00565C02">
              <w:rPr>
                <w:rFonts w:ascii="Times New Roman" w:hAnsi="Times New Roman" w:cs="Times New Roman"/>
              </w:rPr>
              <w:t>estradiol</w:t>
            </w:r>
            <w:proofErr w:type="spellEnd"/>
            <w:r w:rsidRPr="00565C02">
              <w:rPr>
                <w:rFonts w:ascii="Times New Roman" w:hAnsi="Times New Roman" w:cs="Times New Roman"/>
              </w:rPr>
              <w:t xml:space="preserve"> (E2)</w:t>
            </w:r>
          </w:p>
        </w:tc>
        <w:tc>
          <w:tcPr>
            <w:tcW w:w="1915"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 xml:space="preserve">lobaplatin </w:t>
            </w:r>
          </w:p>
        </w:tc>
        <w:tc>
          <w:tcPr>
            <w:tcW w:w="141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ER in human</w:t>
            </w:r>
          </w:p>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BC cells (HBCUs)</w:t>
            </w:r>
          </w:p>
        </w:tc>
        <w:tc>
          <w:tcPr>
            <w:tcW w:w="2083"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Demonstrating continuous release qualities, there are no clear harmful effects.</w:t>
            </w:r>
          </w:p>
        </w:tc>
        <w:tc>
          <w:tcPr>
            <w:tcW w:w="1191"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{"citationItems":[{"id":"ITEM-1","itemData":{"DOI":"10.1016/J.BIOPHA.2018.12.008","ISSN":"0753-3322","PMID":"30572195","abstract":"The adaptability, joint with a large surface area, electronic flexibility, high intrinsic mobility, high mechanical strength and supreme thermal conductivity have condensed graphene family materials attractive as technological tools of the drug delivery system. In this present study, investigate a modified graphene oxide-methyl acrylate (GO-g-MA) nanocarrier for targeted anti-cancer drug delivery in breast cancer cells and the GO-g-MA fascinated with folic acidas a targeting ligand to target the cancer cells. Paclitaxel (PTX) was assembled through π-π stacking, hydrophophic interaction on the surface of the GO-g-MA/FA carrier. Structural modification of GO-g-MA, functionalization of targeting ligands GO-g-MA/FA and drug loaded GO-g-MA/FA-PTX was characterized and confirmed through FTIR, XRD, SEM,TEM and AFM analysis. The in-vitro drug release pattern of PTX from the GO-g-MA/FA was examined in different pH ranges. An MTT assay was performed to evaluate the cytotoxicity behaviour of the carrier and PTX loaded nanocarrier in the human breast cancer cell line (MDA-MB-231). GO-g-MA/FA-PTX carrier showed that 39% of cytotoxic effect. Furthermore, the in-vivo (DMBA induced breast cancer rats) studies were carried out and treatment with PTX- loaded GO-g-MA/FA nanocarrier attenuates the levels of mitochondrial citric acids enzymes to near normal.","author":[{"dropping-particle":"","family":"Vinothini","given":"Kandasamy","non-dropping-particle":"","parse-names":false,"suffix":""},{"dropping-particle":"","family":"Rajendran","given":"Naresh Kumar","non-dropping-particle":"","parse-names":false,"suffix":""},{"dropping-particle":"","family":"Ramu","given":"Andy","non-dropping-particle":"","parse-names":false,"suffix":""},{"dropping-particle":"","family":"Elumalai","given":"Nandhakumar","non-dropping-particle":"","parse-names":false,"suffix":""},{"dropping-particle":"","family":"Rajan","given":"Mariappan","non-dropping-particle":"","parse-names":false,"suffix":""}],"container-title":"Biomedicine &amp; Pharmacotherapy","id":"ITEM-1","issued":{"date-parts":[["2019","2"]]},"page":"906-917","publisher":"Elsevier Masson","title":"Folate receptor targeted delivery of paclitaxel to breast cancer cells via folic acid conjugated graphene oxide grafted methyl acrylate nanocarrier","type":"article-journal","volume":"110"},"uris":["http://www.mendeley.com/documents/?uuid=eb3751c4-848c-40b3-afc9-7d8025fb0647"]},{"id":"ITEM-2","itemData":{"DOI":"10.1517/17425247.2010.498473","ISSN":"17425247","PMID":"20645671","abstract":"Importance of the field: The targeted delivery of therapeutic agents to tumour cells is a challenge because most of the chemotherapeutic agents distribute to the whole body, which results in genera...","author":[{"dropping-particle":"","family":"Ahmad","given":"Mohammad Zaki","non-dropping-particle":"","parse-names":false,"suffix":""},{"dropping-particle":"","family":"Akhter","given":"Sohail","non-dropping-particle":"","parse-names":false,"suffix":""},{"dropping-particle":"","family":"Jain","given":"Gaurav Kumar","non-dropping-particle":"","parse-names":false,"suffix":""},{"dropping-particle":"","family":"Rahman","given":"Mahfoozur","non-dropping-particle":"","parse-names":false,"suffix":""},{"dropping-particle":"","family":"Pathan","given":"Shadab Ahmad","non-dropping-particle":"","parse-names":false,"suffix":""},{"dropping-particle":"","family":"Ahmad","given":"Farhan Jalees","non-dropping-particle":"","parse-names":false,"suffix":""},{"dropping-particle":"","family":"Khar","given":"Roop Krishen","non-dropping-particle":"","parse-names":false,"suffix":""}],"container-title":"http://dx.doi.org/10.1517/17425247.2010.498473","id":"ITEM-2","issue":"8","issued":{"date-parts":[["2010","8"]]},"page":"927-942","publisher":"Taylor &amp; Francis","title":"Metallic nanoparticles: technology overview &amp; drug delivery applications in oncology","type":"article-journal","volume":"7"},"uris":["http://www.mendeley.com/documents/?uuid=1a15f5b6-8c79-49e2-8c00-75ad06465cb4"]}],"mendeley":{"formattedCitation":"[176,177]","plainTextFormattedCitation":"[176,177]","previouslyFormattedCitation":"[176,177]"},"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[176,177]</w:t>
            </w:r>
            <w:r w:rsidRPr="00565C02">
              <w:rPr>
                <w:rFonts w:ascii="Times New Roman" w:hAnsi="Times New Roman" w:cs="Times New Roman"/>
              </w:rPr>
              <w:fldChar w:fldCharType="end"/>
            </w:r>
          </w:p>
        </w:tc>
      </w:tr>
      <w:tr w:rsidR="001F1402" w:rsidRPr="00565C02" w:rsidTr="00E65081">
        <w:trPr>
          <w:trHeight w:val="1016"/>
          <w:jc w:val="center"/>
        </w:trPr>
        <w:tc>
          <w:tcPr>
            <w:tcW w:w="1809"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Polymer coated gold-ferric oxide</w:t>
            </w:r>
          </w:p>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superparamagnetic NPs</w:t>
            </w:r>
          </w:p>
        </w:tc>
        <w:tc>
          <w:tcPr>
            <w:tcW w:w="229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Magnetic iron oxide NPs using poly-L-Lysine polymer</w:t>
            </w:r>
          </w:p>
        </w:tc>
        <w:tc>
          <w:tcPr>
            <w:tcW w:w="1915"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Au, ferric oxide for</w:t>
            </w:r>
          </w:p>
          <w:p w:rsidR="001F1402" w:rsidRPr="00565C02" w:rsidRDefault="001F1402" w:rsidP="00E65081">
            <w:pPr>
              <w:spacing w:line="276" w:lineRule="auto"/>
              <w:jc w:val="both"/>
              <w:rPr>
                <w:rFonts w:ascii="Times New Roman" w:hAnsi="Times New Roman" w:cs="Times New Roman"/>
              </w:rPr>
            </w:pPr>
            <w:proofErr w:type="spellStart"/>
            <w:r w:rsidRPr="00565C02">
              <w:rPr>
                <w:rFonts w:ascii="Times New Roman" w:hAnsi="Times New Roman" w:cs="Times New Roman"/>
              </w:rPr>
              <w:t>theranostics</w:t>
            </w:r>
            <w:proofErr w:type="spellEnd"/>
          </w:p>
        </w:tc>
        <w:tc>
          <w:tcPr>
            <w:tcW w:w="141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BT-474 and MDA-MB-231</w:t>
            </w:r>
          </w:p>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BC cells</w:t>
            </w:r>
          </w:p>
        </w:tc>
        <w:tc>
          <w:tcPr>
            <w:tcW w:w="2083"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 xml:space="preserve">The cells inhibited BT-474 and MDA-MB-231 cell proliferation by 40 and 60% after a </w:t>
            </w:r>
            <w:r w:rsidRPr="00565C02">
              <w:rPr>
                <w:rFonts w:ascii="Times New Roman" w:hAnsi="Times New Roman" w:cs="Times New Roman"/>
              </w:rPr>
              <w:lastRenderedPageBreak/>
              <w:t>photothermal laser-activated internalized NPs.</w:t>
            </w:r>
          </w:p>
        </w:tc>
        <w:tc>
          <w:tcPr>
            <w:tcW w:w="1191"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lastRenderedPageBreak/>
              <w:fldChar w:fldCharType="begin" w:fldLock="1"/>
            </w:r>
            <w:r>
              <w:rPr>
                <w:rFonts w:ascii="Times New Roman" w:hAnsi="Times New Roman" w:cs="Times New Roman"/>
              </w:rPr>
              <w:instrText>ADDIN CSL_CITATION {"citationItems":[{"id":"ITEM-1","itemData":{"DOI":"10.1080/21691401.2017.1423495/SUPPL_FILE/IANB_A_1423495_SM7115.DOCX","ISSN":"2169141X","PMID":"29301415","abstract":"Most breast tumours are heterogeneous and not only contain the bulk of differentiated tumour cells but also a small population of highly tumorigenic and intrinsically drug-resistant cancer stem cells (CSCs). Herein, a pH-sensitive nanoparticle with simultaneous encapsulation of curcumin and doxorubicin (CURDOX-NPs) was prepared by using monomethoxy (polyethylene glycol)-b-P (D,L-lactic-co-glycolic acid)-b-P (L-glutamic acid) polymer to simultaneously target the differentiated tumor cells and CSCs. CURDOX-NPs had a mean diameter of 107.5 nm and zeta potential of −13.7 mV, determined by DLS. Drug-loading efficiency for curcumin and doxorubicin was reaching to 80.30% and 96.2%, respectively. Moreover, a cascade sustained-release profiles with the faster release of CUR followed by a slower release of DOX was observed in normal pH7.4 condition. Moreover, a pH-sensitive release profile for each cargo was seen in pH5.0 condition. The anti-tumour effect of CURDOX-NPs on CSCs-enriching MCF-7/ADR mammospheres was confirmed by in vitro. Moreover, a significant regression of tumour growth after treatment with CURDOX-NPs was also observed in Xenograft mice model. The percentage of CSCs in tumour significantly decreased from 39.9% in control group to 6.82% after treatment with CURDOX-NPs. The combinational delivery of CUR and DOX may a potentially useful therapeutic strategy for refractory breast cancer.","author":[{"dropping-particle":"","family":"Yuan","given":"Jian Dong","non-dropping-particle":"","parse-names":false,"suffix":""},{"dropping-particle":"","family":"ZhuGe","given":"De Li","non-dropping-particle":"","parse-names":false,"suffix":""},{"dropping-particle":"","family":"Tong","given":"Meng Qi","non-dropping-particle":"","parse-names":false,"suffix":""},{"dropping-particle":"","family":"Lin","given":"Meng Ting","non-dropping-particle":"","parse-names":false,"suffix":""},{"dropping-particle":"","family":"Xu","given":"Xia Fang","non-dropping-particle":"","parse-names":false,"suffix":""},{"dropping-particle":"","family":"Tang","given":"Xing","non-dropping-particle":"","parse-names":false,"suffix":""},{"dropping-particle":"","family":"Zhao","given":"Ying Zheng","non-dropping-particle":"","parse-names":false,"suffix":""},{"dropping-particle":"","family":"Xu","given":"He Lin","non-dropping-particle":"","parse-names":false,"suffix":""}],"container-title":"Artificial Cells, Nanomedicine and Biotechnology","id":"ITEM-1","issue":"sup1","issued":{"date-parts":[["2018","10"]]},"page":"302-313","publisher":"Taylor and Francis Ltd.","title":"pH-sensitive polymeric nanoparticles of mPEG-PLGA-PGlu with hybrid core for simultaneous encapsulation of curcumin and doxorubicin to kill the heterogeneous tumour cells in breast cancer","type":"article-journal","volume":"46"},"uris":["http://www.mendeley.com/documents/?uuid=cae95596-e418-4f1e-bfe8-319bdb9248f7"]}],"mendeley":{"formattedCitation":"[178]","plainTextFormattedCitation":"[178]","previouslyFormattedCitation":"[178]"},"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[178]</w:t>
            </w:r>
            <w:r w:rsidRPr="00565C02">
              <w:rPr>
                <w:rFonts w:ascii="Times New Roman" w:hAnsi="Times New Roman" w:cs="Times New Roman"/>
              </w:rPr>
              <w:fldChar w:fldCharType="end"/>
            </w:r>
          </w:p>
        </w:tc>
      </w:tr>
      <w:tr w:rsidR="001F1402" w:rsidRPr="00565C02" w:rsidTr="00E65081">
        <w:trPr>
          <w:trHeight w:val="1016"/>
          <w:jc w:val="center"/>
        </w:trPr>
        <w:tc>
          <w:tcPr>
            <w:tcW w:w="1809"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Magnetic PMs</w:t>
            </w:r>
          </w:p>
        </w:tc>
        <w:tc>
          <w:tcPr>
            <w:tcW w:w="229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Magnetite (Fe</w:t>
            </w:r>
            <w:r w:rsidRPr="00565C02">
              <w:rPr>
                <w:rFonts w:ascii="Times New Roman" w:hAnsi="Times New Roman" w:cs="Times New Roman"/>
                <w:vertAlign w:val="subscript"/>
              </w:rPr>
              <w:t>3</w:t>
            </w:r>
            <w:r w:rsidRPr="00565C02">
              <w:rPr>
                <w:rFonts w:ascii="Times New Roman" w:hAnsi="Times New Roman" w:cs="Times New Roman"/>
              </w:rPr>
              <w:t>O</w:t>
            </w:r>
            <w:r w:rsidRPr="00565C02">
              <w:rPr>
                <w:rFonts w:ascii="Times New Roman" w:hAnsi="Times New Roman" w:cs="Times New Roman"/>
                <w:vertAlign w:val="subscript"/>
              </w:rPr>
              <w:t>4</w:t>
            </w:r>
            <w:r w:rsidRPr="00565C02">
              <w:rPr>
                <w:rFonts w:ascii="Times New Roman" w:hAnsi="Times New Roman" w:cs="Times New Roman"/>
              </w:rPr>
              <w:t xml:space="preserve">) core with copolymer of </w:t>
            </w:r>
            <w:proofErr w:type="spellStart"/>
            <w:r w:rsidRPr="00565C02">
              <w:rPr>
                <w:rFonts w:ascii="Times New Roman" w:hAnsi="Times New Roman" w:cs="Times New Roman"/>
              </w:rPr>
              <w:t>zein</w:t>
            </w:r>
            <w:proofErr w:type="spellEnd"/>
            <w:r w:rsidRPr="00565C02">
              <w:rPr>
                <w:rFonts w:ascii="Times New Roman" w:hAnsi="Times New Roman" w:cs="Times New Roman"/>
              </w:rPr>
              <w:t xml:space="preserve"> lactoferrin encapsulated with </w:t>
            </w:r>
            <w:proofErr w:type="spellStart"/>
            <w:r w:rsidRPr="00565C02">
              <w:rPr>
                <w:rFonts w:ascii="Times New Roman" w:hAnsi="Times New Roman" w:cs="Times New Roman"/>
              </w:rPr>
              <w:t>dasatinib</w:t>
            </w:r>
            <w:proofErr w:type="spellEnd"/>
          </w:p>
        </w:tc>
        <w:tc>
          <w:tcPr>
            <w:tcW w:w="1915" w:type="dxa"/>
          </w:tcPr>
          <w:p w:rsidR="001F1402" w:rsidRPr="00565C02" w:rsidRDefault="001F1402" w:rsidP="00E65081">
            <w:pPr>
              <w:spacing w:line="276" w:lineRule="auto"/>
              <w:jc w:val="both"/>
              <w:rPr>
                <w:rFonts w:ascii="Times New Roman" w:hAnsi="Times New Roman" w:cs="Times New Roman"/>
              </w:rPr>
            </w:pPr>
            <w:proofErr w:type="spellStart"/>
            <w:r w:rsidRPr="00565C02">
              <w:rPr>
                <w:rFonts w:ascii="Times New Roman" w:hAnsi="Times New Roman" w:cs="Times New Roman"/>
              </w:rPr>
              <w:t>Dasatinib</w:t>
            </w:r>
            <w:proofErr w:type="spellEnd"/>
          </w:p>
        </w:tc>
        <w:tc>
          <w:tcPr>
            <w:tcW w:w="141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TNBC cell</w:t>
            </w:r>
          </w:p>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line (MDA-MB-231)</w:t>
            </w:r>
          </w:p>
        </w:tc>
        <w:tc>
          <w:tcPr>
            <w:tcW w:w="2083"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PMs inhibited cellular migration, and also inhibited the phosphorylated c-</w:t>
            </w:r>
            <w:proofErr w:type="spellStart"/>
            <w:r w:rsidRPr="00565C02">
              <w:rPr>
                <w:rFonts w:ascii="Times New Roman" w:hAnsi="Times New Roman" w:cs="Times New Roman"/>
              </w:rPr>
              <w:t>Src</w:t>
            </w:r>
            <w:proofErr w:type="spellEnd"/>
          </w:p>
        </w:tc>
        <w:tc>
          <w:tcPr>
            <w:tcW w:w="1191"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{"citationItems":[{"id":"ITEM-1","itemData":{"DOI":"10.1016/j.xphs.2018.11.044","ISSN":"15206017","PMID":"30528944","abstract":"Magnetic nanocarriers are useful in targeted cancer therapy. Dasatinib (DAS)-loaded magnetic micelles were prepared for magnetically guided drug delivery. The magnetic nanoplatform is composed of hydrophobic oleic acid–coated magnetite (Fe 3 O 4 ) core along with DAS encapsulated in amphiphilic zein-lactoferrin self-assembled polymeric micelles. Transmission electron microscope analysis manifested formation of these magnetic micelles with a mean diameter of about 100 nm. In addition, drug-loaded magnetic micelles displayed a saturation magnetization of about 10.01 emu.g −1 with a superparamagnetic property. They also showed good in vitro serum stability and hemocompatibility accompanied with a sustained release of DAS in acidic pH. More importantly, they exhibited 1.35-fold increase in their in vitro cytotoxicity against triple-negative human breast cancer cell line (MDA-MB-231) using an external magnetic field compared to drug-loaded magnetic micelles in the absence of a magnetic field. Enhanced inhibition of p-c-Src protein expression level and in vitro cellular migration under the effect of magnetic field was noted owing to the dual-targeting strategy offered by the presence of a magnetic sensitive core, as well as the active targeting property of lactoferrin corona. Taken all together, these results suggest that DAS-loaded magnetic micelles possess a great potential for targeted therapy of breast cancer.","author":[{"dropping-particle":"","family":"Sabra","given":"Sally A.","non-dropping-particle":"","parse-names":false,"suffix":""},{"dropping-particle":"","family":"Sheweita","given":"Salah A.","non-dropping-particle":"","parse-names":false,"suffix":""},{"dropping-particle":"","family":"Haroun","given":"Medhat","non-dropping-particle":"","parse-names":false,"suffix":""},{"dropping-particle":"","family":"Ragab","given":"Doaa","non-dropping-particle":"","parse-names":false,"suffix":""},{"dropping-particle":"","family":"Eldemellawy","given":"Maha A.","non-dropping-particle":"","parse-names":false,"suffix":""},{"dropping-particle":"","family":"Xia","given":"Ying","non-dropping-particle":"","parse-names":false,"suffix":""},{"dropping-particle":"","family":"Goodale","given":"David","non-dropping-particle":"","parse-names":false,"suffix":""},{"dropping-particle":"","family":"Allan","given":"Alison L.","non-dropping-particle":"","parse-names":false,"suffix":""},{"dropping-particle":"","family":"Elzoghby","given":"Ahmed O.","non-dropping-particle":"","parse-names":false,"suffix":""},{"dropping-particle":"","family":"Rohani","given":"Sohrab","non-dropping-particle":"","parse-names":false,"suffix":""}],"container-title":"Journal of Pharmaceutical Sciences","id":"ITEM-1","issue":"5","issued":{"date-parts":[["2019","5"]]},"page":"1713-1725","publisher":"Elsevier B.V.","title":"Magnetically Guided Self-Assembled Protein Micelles for Enhanced Delivery of Dasatinib to Human Triple-Negative Breast Cancer Cells","type":"article-journal","volume":"108"},"uris":["http://www.mendeley.com/documents/?uuid=b83be20d-e01f-38e1-acd1-8e40b702a04d","http://www.mendeley.com/documents/?uuid=6cb0718b-51c0-458d-a7b1-1ddabf86f98c"]}],"mendeley":{"formattedCitation":"[179]","plainTextFormattedCitation":"[179]","previouslyFormattedCitation":"[179]"},"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[179]</w:t>
            </w:r>
            <w:r w:rsidRPr="00565C02">
              <w:rPr>
                <w:rFonts w:ascii="Times New Roman" w:hAnsi="Times New Roman" w:cs="Times New Roman"/>
              </w:rPr>
              <w:fldChar w:fldCharType="end"/>
            </w:r>
          </w:p>
        </w:tc>
      </w:tr>
      <w:tr w:rsidR="001F1402" w:rsidRPr="00565C02" w:rsidTr="00E65081">
        <w:trPr>
          <w:trHeight w:val="1016"/>
          <w:jc w:val="center"/>
        </w:trPr>
        <w:tc>
          <w:tcPr>
            <w:tcW w:w="1809"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Biodegradable PMs</w:t>
            </w:r>
          </w:p>
        </w:tc>
        <w:tc>
          <w:tcPr>
            <w:tcW w:w="229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Alendronate modified copolymer loaded with docetaxel (ALN-m/DTX)</w:t>
            </w:r>
          </w:p>
        </w:tc>
        <w:tc>
          <w:tcPr>
            <w:tcW w:w="1915"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Alendronate</w:t>
            </w:r>
          </w:p>
        </w:tc>
        <w:tc>
          <w:tcPr>
            <w:tcW w:w="141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 xml:space="preserve">4T1 BC cell line </w:t>
            </w:r>
          </w:p>
        </w:tc>
        <w:tc>
          <w:tcPr>
            <w:tcW w:w="2083"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Suppressed disease progression, improved survival in a syngeneic murine model of BC bone metastasis</w:t>
            </w:r>
          </w:p>
        </w:tc>
        <w:tc>
          <w:tcPr>
            <w:tcW w:w="1191"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{"citationItems":[{"id":"ITEM-1","itemData":{"DOI":"10.1021/acs.molpharmaceut.8b01343","ISSN":"15438392","PMID":"31150251","abstract":"Although the prognosis of patients with breast cancer continues to improve, breast cancer metastasis to bones remains high in incidence and challenging to manage. Here, we report the development of bone-homing alendronate (ALN)-anchored biodegradable polymeric micelles for the targeted treatment of metastatic cancer to bone. These micelles exhibited bone protective capacity including the recruitment, differentiation, and resorption activity of the osteoclasts. Encapsulation of docetaxel (DTX), the first-line chemotherapeutic for treatment of metastatic breast cancer, in ALN-modified micelles results in a sustained release, enhanced cytotoxicity, and improved pharmacokinetics. In the syngeneic animal model of late-stage disseminated breast cancer bone metastasis, the treatment with targeted DTX-loaded micelles attenuated the tumorigenesis and significantly improved animal lifespan compared to the conventional surfactant-based formulation (free DTX). These findings indicate potential applications of the osteotropic nanomedicines for bone metastasis treatment.","author":[{"dropping-particle":"","family":"Liu","given":"Tong","non-dropping-particle":"","parse-names":false,"suffix":""},{"dropping-particle":"","family":"Romanova","given":"Svetlana","non-dropping-particle":"","parse-names":false,"suffix":""},{"dropping-particle":"","family":"Wang","given":"Shuo","non-dropping-particle":"","parse-names":false,"suffix":""},{"dropping-particle":"","family":"Hyun","given":"Megan A.","non-dropping-particle":"","parse-names":false,"suffix":""},{"dropping-particle":"","family":"Zhang","given":"Chi","non-dropping-particle":"","parse-names":false,"suffix":""},{"dropping-particle":"","family":"Cohen","given":"Samuel M.","non-dropping-particle":"","parse-names":false,"suffix":""},{"dropping-particle":"","family":"Singh","given":"Rakesh K.","non-dropping-particle":"","parse-names":false,"suffix":""},{"dropping-particle":"","family":"Bronich","given":"Tatiana K.","non-dropping-particle":"","parse-names":false,"suffix":""}],"container-title":"Molecular Pharmaceutics","id":"ITEM-1","issued":{"date-parts":[["2019"]]},"title":"Alendronate-Modified Polymeric Micelles for the Treatment of Breast Cancer Bone Metastasis","type":"article-journal"},"uris":["http://www.mendeley.com/documents/?uuid=3e277fe7-3ff7-4d5f-ac4d-ee5eaeaf1afe","http://www.mendeley.com/documents/?uuid=86eda89d-29a3-48c4-b37d-b83cb5574e22"]}],"mendeley":{"formattedCitation":"[180]","plainTextFormattedCitation":"[180]","previouslyFormattedCitation":"[180]"},"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[180]</w:t>
            </w:r>
            <w:r w:rsidRPr="00565C02">
              <w:rPr>
                <w:rFonts w:ascii="Times New Roman" w:hAnsi="Times New Roman" w:cs="Times New Roman"/>
              </w:rPr>
              <w:fldChar w:fldCharType="end"/>
            </w:r>
          </w:p>
        </w:tc>
      </w:tr>
      <w:tr w:rsidR="001F1402" w:rsidRPr="00565C02" w:rsidTr="00E65081">
        <w:trPr>
          <w:trHeight w:val="1016"/>
          <w:jc w:val="center"/>
        </w:trPr>
        <w:tc>
          <w:tcPr>
            <w:tcW w:w="1809" w:type="dxa"/>
          </w:tcPr>
          <w:p w:rsidR="001F1402" w:rsidRPr="00565C02" w:rsidRDefault="001F1402" w:rsidP="00E65081">
            <w:pPr>
              <w:spacing w:line="276" w:lineRule="auto"/>
              <w:jc w:val="both"/>
              <w:rPr>
                <w:rFonts w:ascii="Times New Roman" w:hAnsi="Times New Roman" w:cs="Times New Roman"/>
              </w:rPr>
            </w:pPr>
            <w:proofErr w:type="spellStart"/>
            <w:r w:rsidRPr="00565C02">
              <w:rPr>
                <w:rFonts w:ascii="Times New Roman" w:hAnsi="Times New Roman" w:cs="Times New Roman"/>
              </w:rPr>
              <w:t>Carbosilane</w:t>
            </w:r>
            <w:proofErr w:type="spellEnd"/>
            <w:r w:rsidRPr="00565C02">
              <w:rPr>
                <w:rFonts w:ascii="Times New Roman" w:hAnsi="Times New Roman" w:cs="Times New Roman"/>
              </w:rPr>
              <w:t xml:space="preserve"> Ruthenium Dendrimers (CRD)</w:t>
            </w:r>
          </w:p>
        </w:tc>
        <w:tc>
          <w:tcPr>
            <w:tcW w:w="229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Graphene oxide modified gold nanowires (GO</w:t>
            </w:r>
          </w:p>
          <w:p w:rsidR="001F1402" w:rsidRPr="00565C02" w:rsidRDefault="001F1402" w:rsidP="00E65081">
            <w:pPr>
              <w:spacing w:line="276" w:lineRule="auto"/>
              <w:jc w:val="both"/>
              <w:rPr>
                <w:rFonts w:ascii="Times New Roman" w:hAnsi="Times New Roman" w:cs="Times New Roman"/>
              </w:rPr>
            </w:pPr>
            <w:proofErr w:type="spellStart"/>
            <w:r w:rsidRPr="00565C02">
              <w:rPr>
                <w:rFonts w:ascii="Times New Roman" w:hAnsi="Times New Roman" w:cs="Times New Roman"/>
              </w:rPr>
              <w:t>AuNWs</w:t>
            </w:r>
            <w:proofErr w:type="spellEnd"/>
            <w:r w:rsidRPr="00565C02">
              <w:rPr>
                <w:rFonts w:ascii="Times New Roman" w:hAnsi="Times New Roman" w:cs="Times New Roman"/>
              </w:rPr>
              <w:t>)</w:t>
            </w:r>
          </w:p>
        </w:tc>
        <w:tc>
          <w:tcPr>
            <w:tcW w:w="1915" w:type="dxa"/>
          </w:tcPr>
          <w:p w:rsidR="001F1402" w:rsidRPr="00565C02" w:rsidRDefault="001F1402" w:rsidP="00E65081">
            <w:pPr>
              <w:spacing w:line="276" w:lineRule="auto"/>
              <w:jc w:val="both"/>
              <w:rPr>
                <w:rFonts w:ascii="Times New Roman" w:hAnsi="Times New Roman" w:cs="Times New Roman"/>
              </w:rPr>
            </w:pPr>
            <w:proofErr w:type="spellStart"/>
            <w:r w:rsidRPr="00565C02">
              <w:rPr>
                <w:rFonts w:ascii="Times New Roman" w:hAnsi="Times New Roman" w:cs="Times New Roman"/>
              </w:rPr>
              <w:t>Carbosilane</w:t>
            </w:r>
            <w:proofErr w:type="spellEnd"/>
            <w:r w:rsidRPr="00565C02">
              <w:rPr>
                <w:rFonts w:ascii="Times New Roman" w:hAnsi="Times New Roman" w:cs="Times New Roman"/>
              </w:rPr>
              <w:t xml:space="preserve"> Ruthenium</w:t>
            </w:r>
          </w:p>
        </w:tc>
        <w:tc>
          <w:tcPr>
            <w:tcW w:w="141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MCF7 cells</w:t>
            </w:r>
          </w:p>
        </w:tc>
        <w:tc>
          <w:tcPr>
            <w:tcW w:w="2083"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 xml:space="preserve">Ultrasound-propelled </w:t>
            </w:r>
            <w:proofErr w:type="spellStart"/>
            <w:r w:rsidRPr="00565C02">
              <w:rPr>
                <w:rFonts w:ascii="Times New Roman" w:hAnsi="Times New Roman" w:cs="Times New Roman"/>
              </w:rPr>
              <w:t>AuNWs</w:t>
            </w:r>
            <w:proofErr w:type="spellEnd"/>
            <w:r w:rsidRPr="00565C02">
              <w:rPr>
                <w:rFonts w:ascii="Times New Roman" w:hAnsi="Times New Roman" w:cs="Times New Roman"/>
              </w:rPr>
              <w:t xml:space="preserve"> exhibited faster cell internalization, and accelerated the delivery of the CRD to the MCF7 cells</w:t>
            </w:r>
          </w:p>
        </w:tc>
        <w:tc>
          <w:tcPr>
            <w:tcW w:w="1191"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{"citationItems":[{"id":"ITEM-1","itemData":{"DOI":"10.31487/j.cor.2019.04.08","abstract":"In this work, a new class of fluorescently labeled metallodendrimers based on ruthenium and possessing anticancer activity (FITC-CRD13) is combined with graphene oxide modified gold nanowires (GO-AuNWs). The resulting complexes were tested as active intracellular transporters being propelled by ultrasound field (US) and using breast cancer cells as a model. Energy dispersive X-ray spectroscopy analysis confirmed the successful modification of GO-AuNWs by dendrimers as shown by the uniform presence of ruthenium over the nanomotor structure corresponding to the ruthenium groups of FITC-CRD13. The binding of dendrimers to the surface of GO-AuNWs was accompanied by quenching their fluorescence signal. Upon the application of an ultrasound field (5 min, 2 V, 2.66 MHz), the complexes were propelled towards MCF7 breast cancer cells, detaching from the GO-nanomotor surface and thus recovering the dendrimer fluorescence signal. Fluorescence signal from US-treated samples was ~1.8 fold higher compared to passive controls. The results obtained in this work suggest that US-propelled AuNWs lead to faster cell internalization, hence accelerating the delivery of the carbosilane ruthenium dendrimers (CRD) payload inside MCF7 cells.","author":[{"dropping-particle":"","family":"Garaiová","given":"Zuzana","non-dropping-particle":"","parse-names":false,"suffix":""},{"dropping-particle":"","family":"Bolat","given":"Gulcin","non-dropping-particle":"","parse-names":false,"suffix":""},{"dropping-particle":"de","family":"Ávila","given":"Berta Esteban-Fernández","non-dropping-particle":"","parse-names":false,"suffix":""},{"dropping-particle":"","family":"Gong","given":"Hua","non-dropping-particle":"","parse-names":false,"suffix":""},{"dropping-particle":"del","family":"Olmo","given":"Natalia Sanz","non-dropping-particle":"","parse-names":false,"suffix":""},{"dropping-particle":"","family":"Ortega","given":"Paula","non-dropping-particle":"","parse-names":false,"suffix":""},{"dropping-particle":"la","family":"Mata","given":"Francisco Javier de","non-dropping-particle":"","parse-names":false,"suffix":""},{"dropping-particle":"","family":"Michlewska","given":"Sylwia","non-dropping-particle":"","parse-names":false,"suffix":""},{"dropping-particle":"","family":"Wang","given":"Joseph","non-dropping-particle":"","parse-names":false,"suffix":""},{"dropping-particle":"","family":"Hianik","given":"Tibor","non-dropping-particle":"","parse-names":false,"suffix":""}],"container-title":"Clinical Oncology and Research","id":"ITEM-1","issued":{"date-parts":[["2019"]]},"page":"1-5","title":"Combination of Ruthenium Dendrimers and Acoustically Propelled Gold Nanowires as a Platform for Active Intracellular Drug Delivery Towards Breast Cancer Therapy","type":"article-journal"},"uris":["http://www.mendeley.com/documents/?uuid=dcd5a5f5-24f2-4eed-a81b-aa6a255d79a2","http://www.mendeley.com/documents/?uuid=7423dc16-4fd8-48bf-800a-734b7305e49f"]}],"mendeley":{"formattedCitation":"[181]","plainTextFormattedCitation":"[181]","previouslyFormattedCitation":"[181]"},"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[181]</w:t>
            </w:r>
            <w:r w:rsidRPr="00565C02">
              <w:rPr>
                <w:rFonts w:ascii="Times New Roman" w:hAnsi="Times New Roman" w:cs="Times New Roman"/>
              </w:rPr>
              <w:fldChar w:fldCharType="end"/>
            </w:r>
          </w:p>
        </w:tc>
      </w:tr>
      <w:tr w:rsidR="001F1402" w:rsidRPr="00565C02" w:rsidTr="00E65081">
        <w:trPr>
          <w:trHeight w:val="1016"/>
          <w:jc w:val="center"/>
        </w:trPr>
        <w:tc>
          <w:tcPr>
            <w:tcW w:w="1809" w:type="dxa"/>
          </w:tcPr>
          <w:p w:rsidR="001F1402" w:rsidRPr="00565C02" w:rsidRDefault="001F1402" w:rsidP="00E65081">
            <w:pPr>
              <w:spacing w:line="276" w:lineRule="auto"/>
              <w:jc w:val="both"/>
              <w:rPr>
                <w:rFonts w:ascii="Times New Roman" w:hAnsi="Times New Roman" w:cs="Times New Roman"/>
              </w:rPr>
            </w:pPr>
            <w:proofErr w:type="spellStart"/>
            <w:r w:rsidRPr="00565C02">
              <w:rPr>
                <w:rFonts w:ascii="Times New Roman" w:hAnsi="Times New Roman" w:cs="Times New Roman"/>
              </w:rPr>
              <w:t>Polyamidoamine</w:t>
            </w:r>
            <w:proofErr w:type="spellEnd"/>
            <w:r w:rsidRPr="00565C02">
              <w:rPr>
                <w:rFonts w:ascii="Times New Roman" w:hAnsi="Times New Roman" w:cs="Times New Roman"/>
              </w:rPr>
              <w:t xml:space="preserve"> dendrimers (PAMAM)</w:t>
            </w:r>
          </w:p>
        </w:tc>
        <w:tc>
          <w:tcPr>
            <w:tcW w:w="229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PAMAM dendrimers loaded with methotrexate and D-glucose</w:t>
            </w:r>
          </w:p>
        </w:tc>
        <w:tc>
          <w:tcPr>
            <w:tcW w:w="1915"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PAMAM</w:t>
            </w:r>
          </w:p>
        </w:tc>
        <w:tc>
          <w:tcPr>
            <w:tcW w:w="1417"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MDA-MB-231 cell line</w:t>
            </w:r>
          </w:p>
        </w:tc>
        <w:tc>
          <w:tcPr>
            <w:tcW w:w="2083"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t>Reduced the cell viability up to 20%   and glycosylation doubled the internalization of OS-PAMAM conjugates in cancer cells</w:t>
            </w:r>
          </w:p>
        </w:tc>
        <w:tc>
          <w:tcPr>
            <w:tcW w:w="1191" w:type="dxa"/>
          </w:tcPr>
          <w:p w:rsidR="001F1402" w:rsidRPr="00565C02" w:rsidRDefault="001F1402"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 xml:space="preserve">ADDIN CSL_CITATION {"citationItems":[{"id":"ITEM-1","itemData":{"DOI":"10.1016/j.jddst.2020.101769","ISSN":"17732247","abstract":"Polyamidoamine dendrimers (PAMAM) have been extensively investigated for drug delivery in target therapy against breast cancer and other diseases, but the development of a low-cost system — especially for triple-negative breast cancer (TNBC) — remains limited. The objective of this study was to evaluate the novel one-step PAMAM dendrimers loaded with methotrexate and D-glucose (OS-PAMAM-MTX-GLU) in TNBC cell lines, MDA-MB-231. The target drug system OS-PAMAM-MTX-GLU and control conjugates were synthesized and characterized by Fourier transform infrared spectroscopy, dynamic light scattering, and transmission electron microscopy. The in vitro viability of conjugates was studied by the MTT assay in TNBC cell line, MDA-MB-231 and non-cancerous HaCaT. Confocal and fluorescence microscopy were used to investigate the uptake time and colocalization of OS-PAMAM conjugates in cells. The results showed that OS-PAMAM-MTX-GLU and controls have the characteristic primary and secondary amides of PAMAM dendrimers, and the presence of MTX and GLU bound. Spherical dendrimeric conjugates of </w:instrText>
            </w:r>
            <w:r>
              <w:rPr>
                <w:rFonts w:ascii="Cambria Math" w:hAnsi="Cambria Math" w:cs="Cambria Math"/>
              </w:rPr>
              <w:instrText>∼</w:instrText>
            </w:r>
            <w:r>
              <w:rPr>
                <w:rFonts w:ascii="Times New Roman" w:hAnsi="Times New Roman" w:cs="Times New Roman"/>
              </w:rPr>
              <w:instrText xml:space="preserve">30 nm with a positive Z potential from </w:instrText>
            </w:r>
            <w:r>
              <w:rPr>
                <w:rFonts w:ascii="Cambria Math" w:hAnsi="Cambria Math" w:cs="Cambria Math"/>
              </w:rPr>
              <w:instrText>∼</w:instrText>
            </w:r>
            <w:r>
              <w:rPr>
                <w:rFonts w:ascii="Times New Roman" w:hAnsi="Times New Roman" w:cs="Times New Roman"/>
              </w:rPr>
              <w:instrText>13 to 19 mV were found. The OS-PAMAM-MTX-GLU reduces the cell viability up to 20% mostly MDA-MB-231 cells and is significantly higher than free MTX without affecting significantly HaCaT cells. The uptake studies showed that glycosylation increased two times the internalization of OS-PAMAM conjugates in cancer cells than non-cancer cells. The OS-PAMAM-MTX-GLU uptake inhibits mostly MDA-MB-231 cells providing a desirable strategy for targeted therapy of breast cancer cells.","author":[{"dropping-particle":"","family":"Torres-Pérez","given":"Sergio Andrés","non-dropping-particle":"","parse-names":false,"suffix":""},{"dropping-particle":"","family":"Ramos-Godínez","given":"María del Pilar","non-dropping-particle":"","parse-names":false,"suffix":""},{"dropping-particle":"","family":"Ramón-Gallegos","given":"Eva","non-dropping-particle":"","parse-names":false,"suffix":""}],"container-title":"Journal of Drug Delivery Science and Technology","id":"ITEM-1","issued":{"date-parts":[["2020"]]},"page":"101769","publisher":"Elsevier B.V.","title":"Glycosylated one-step PAMAM dendrimers loaded with methotrexate for target therapy in breast cancer cells MDA-MB-231","type":"article-journal","volume":"58"},"uris":["http://www.mendeley.com/documents/?uuid=dd48c76e-b737-407d-b6a1-86d26c2f81cf","http://www.mendeley.com/documents/?uuid=6fc68eb9-a09d-4e63-8a01-59e5ce579b0f"]}],"mendeley":{"formattedCitation":"[182]","plainTextFormattedCitation":"[182]","previouslyFormattedCitation":"[182]"},"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[182]</w:t>
            </w:r>
            <w:r w:rsidRPr="00565C02">
              <w:rPr>
                <w:rFonts w:ascii="Times New Roman" w:hAnsi="Times New Roman" w:cs="Times New Roman"/>
              </w:rPr>
              <w:fldChar w:fldCharType="end"/>
            </w:r>
          </w:p>
        </w:tc>
      </w:tr>
    </w:tbl>
    <w:p w:rsidR="001F1402" w:rsidRPr="00565C02" w:rsidRDefault="001F1402" w:rsidP="001F1402">
      <w:pPr>
        <w:spacing w:line="276" w:lineRule="auto"/>
        <w:jc w:val="both"/>
        <w:rPr>
          <w:rFonts w:ascii="Times New Roman" w:hAnsi="Times New Roman" w:cs="Times New Roman"/>
        </w:rPr>
      </w:pPr>
    </w:p>
    <w:p w:rsidR="004545DB" w:rsidRDefault="004545DB"/>
    <w:sectPr w:rsidR="004545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402"/>
    <w:rsid w:val="000A2E22"/>
    <w:rsid w:val="001B1A36"/>
    <w:rsid w:val="001F1402"/>
    <w:rsid w:val="004545DB"/>
    <w:rsid w:val="004E4ADB"/>
    <w:rsid w:val="006751DB"/>
    <w:rsid w:val="00B04747"/>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DA6C3C-996F-4211-83FD-CEFC8B05F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1402"/>
    <w:rPr>
      <w:lang w:val="en-I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F1402"/>
    <w:pPr>
      <w:spacing w:after="0" w:line="240" w:lineRule="auto"/>
    </w:pPr>
    <w:rPr>
      <w:lang w:val="en-IN"/>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8452</Words>
  <Characters>48181</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Nafees Ahemad Muhammed Yunus</dc:creator>
  <cp:keywords/>
  <dc:description/>
  <cp:lastModifiedBy>Nafees Ahemad Muhammed Yunus</cp:lastModifiedBy>
  <cp:revision>3</cp:revision>
  <dcterms:created xsi:type="dcterms:W3CDTF">2023-06-07T01:29:00Z</dcterms:created>
  <dcterms:modified xsi:type="dcterms:W3CDTF">2023-06-07T03:08:00Z</dcterms:modified>
</cp:coreProperties>
</file>