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"/>
          <w:szCs w:val="2"/>
          <w:lang w:val="en-US"/>
        </w:rPr>
        <w:t>22S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SUPPLEMENTARY MATERIALS:</w:t>
      </w:r>
    </w:p>
    <w:tbl>
      <w:tblPr>
        <w:tblStyle w:val="6"/>
        <w:tblpPr w:leftFromText="180" w:rightFromText="180" w:vertAnchor="text" w:horzAnchor="page" w:tblpX="644" w:tblpY="617"/>
        <w:tblOverlap w:val="never"/>
        <w:tblW w:w="998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1"/>
        <w:gridCol w:w="2465"/>
        <w:gridCol w:w="2714"/>
        <w:gridCol w:w="2114"/>
        <w:gridCol w:w="159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" w:type="dxa"/>
            <w:tcBorders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ROUTES</w:t>
            </w:r>
          </w:p>
        </w:tc>
        <w:tc>
          <w:tcPr>
            <w:tcW w:w="246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BARRIERS</w:t>
            </w:r>
          </w:p>
        </w:tc>
        <w:tc>
          <w:tcPr>
            <w:tcW w:w="271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LIMITATIONS</w:t>
            </w:r>
          </w:p>
        </w:tc>
        <w:tc>
          <w:tcPr>
            <w:tcW w:w="2114" w:type="dxa"/>
            <w:tcBorders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ADVANTAGES</w:t>
            </w:r>
          </w:p>
        </w:tc>
        <w:tc>
          <w:tcPr>
            <w:tcW w:w="1597" w:type="dxa"/>
            <w:tcBorders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>REFERENCES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Topical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Membrane barriers</w:t>
            </w:r>
          </w:p>
          <w:p>
            <w:pPr>
              <w:pStyle w:val="4"/>
              <w:numPr>
                <w:ilvl w:val="0"/>
                <w:numId w:val="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Elimination pathways on eye surface</w:t>
            </w:r>
          </w:p>
          <w:p>
            <w:pPr>
              <w:pStyle w:val="4"/>
              <w:numPr>
                <w:ilvl w:val="0"/>
                <w:numId w:val="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Cornea structural complexity</w:t>
            </w:r>
          </w:p>
          <w:p>
            <w:pPr>
              <w:pStyle w:val="4"/>
              <w:numPr>
                <w:ilvl w:val="0"/>
                <w:numId w:val="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Blood retinal barrier</w:t>
            </w:r>
          </w:p>
          <w:p>
            <w:pPr>
              <w:pStyle w:val="4"/>
              <w:numPr>
                <w:ilvl w:val="0"/>
                <w:numId w:val="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Aqueous humor flow gradient</w:t>
            </w:r>
          </w:p>
          <w:p>
            <w:pPr>
              <w:pStyle w:val="4"/>
              <w:numPr>
                <w:ilvl w:val="0"/>
                <w:numId w:val="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Tight junctions</w:t>
            </w:r>
          </w:p>
          <w:p>
            <w:pPr>
              <w:pStyle w:val="4"/>
              <w:numPr>
                <w:ilvl w:val="0"/>
                <w:numId w:val="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Tear flow (opposite convective flow )</w:t>
            </w:r>
          </w:p>
          <w:p>
            <w:pPr>
              <w:pStyle w:val="4"/>
              <w:numPr>
                <w:ilvl w:val="0"/>
                <w:numId w:val="1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Dynamic barriers related to tissue vasculature and clearance by lymphatics</w:t>
            </w:r>
          </w:p>
        </w:tc>
        <w:tc>
          <w:tcPr>
            <w:tcW w:w="2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High frequency of instillations</w:t>
            </w:r>
          </w:p>
          <w:p>
            <w:pPr>
              <w:pStyle w:val="4"/>
              <w:numPr>
                <w:ilvl w:val="0"/>
                <w:numId w:val="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Nasolacrimal drainage</w:t>
            </w:r>
          </w:p>
          <w:p>
            <w:pPr>
              <w:pStyle w:val="4"/>
              <w:numPr>
                <w:ilvl w:val="0"/>
                <w:numId w:val="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Restricted volume of application</w:t>
            </w:r>
          </w:p>
          <w:p>
            <w:pPr>
              <w:pStyle w:val="4"/>
              <w:numPr>
                <w:ilvl w:val="0"/>
                <w:numId w:val="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Blurriness of vision</w:t>
            </w:r>
          </w:p>
          <w:p>
            <w:pPr>
              <w:pStyle w:val="4"/>
              <w:numPr>
                <w:ilvl w:val="0"/>
                <w:numId w:val="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Pre corneal drug loss</w:t>
            </w:r>
          </w:p>
          <w:p>
            <w:pPr>
              <w:pStyle w:val="4"/>
              <w:numPr>
                <w:ilvl w:val="0"/>
                <w:numId w:val="2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Blinking reflexes</w:t>
            </w:r>
          </w:p>
        </w:tc>
        <w:tc>
          <w:tcPr>
            <w:tcW w:w="2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3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Non invasive</w:t>
            </w:r>
          </w:p>
          <w:p>
            <w:pPr>
              <w:pStyle w:val="4"/>
              <w:numPr>
                <w:ilvl w:val="0"/>
                <w:numId w:val="3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Patient compliant</w:t>
            </w:r>
          </w:p>
          <w:p>
            <w:pPr>
              <w:pStyle w:val="4"/>
              <w:numPr>
                <w:ilvl w:val="0"/>
                <w:numId w:val="3"/>
              </w:numPr>
              <w:spacing w:after="28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Self administrable</w:t>
            </w:r>
          </w:p>
          <w:p>
            <w:pPr>
              <w:pStyle w:val="4"/>
              <w:spacing w:after="0" w:line="480" w:lineRule="auto"/>
              <w:ind w:left="72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ind w:left="72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[21]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Systemic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4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Choroidal efflux transporter</w:t>
            </w:r>
          </w:p>
          <w:p>
            <w:pPr>
              <w:pStyle w:val="4"/>
              <w:numPr>
                <w:ilvl w:val="0"/>
                <w:numId w:val="4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Blood Retinal barrier(more selective to highly lipophillic drug)</w:t>
            </w:r>
          </w:p>
        </w:tc>
        <w:tc>
          <w:tcPr>
            <w:tcW w:w="2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5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High dose administered to achieve the therapeutic concentration.</w:t>
            </w:r>
          </w:p>
          <w:p>
            <w:pPr>
              <w:pStyle w:val="4"/>
              <w:numPr>
                <w:ilvl w:val="0"/>
                <w:numId w:val="5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Unintended adverse effects due to undesirable exposure non targeted areas.</w:t>
            </w:r>
          </w:p>
          <w:p>
            <w:pPr>
              <w:pStyle w:val="4"/>
              <w:numPr>
                <w:ilvl w:val="0"/>
                <w:numId w:val="5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Efflux transporters limit the absorption to the ocular tissues.</w:t>
            </w:r>
          </w:p>
          <w:p>
            <w:pPr>
              <w:pStyle w:val="4"/>
              <w:numPr>
                <w:ilvl w:val="0"/>
                <w:numId w:val="5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Invasive (sometimes)</w:t>
            </w:r>
          </w:p>
        </w:tc>
        <w:tc>
          <w:tcPr>
            <w:tcW w:w="2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6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Prevent the damage to ocular tissues due to multiple injections.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[22]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Periocular</w:t>
            </w:r>
          </w:p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(subconjunctival, subtenon, peribulbar, posterior juxtascleral and retrobulbar</w:t>
            </w:r>
          </w:p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injections)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7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Scleral width and thickness</w:t>
            </w:r>
          </w:p>
          <w:p>
            <w:pPr>
              <w:pStyle w:val="4"/>
              <w:numPr>
                <w:ilvl w:val="0"/>
                <w:numId w:val="7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Choroidal vascularisation</w:t>
            </w:r>
          </w:p>
          <w:p>
            <w:pPr>
              <w:pStyle w:val="4"/>
              <w:numPr>
                <w:ilvl w:val="0"/>
                <w:numId w:val="7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Blood retinal barrier</w:t>
            </w:r>
          </w:p>
        </w:tc>
        <w:tc>
          <w:tcPr>
            <w:tcW w:w="2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8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Drug loses via the episcleral, conjunctival, lymphatic flow</w:t>
            </w:r>
          </w:p>
          <w:p>
            <w:pPr>
              <w:pStyle w:val="4"/>
              <w:numPr>
                <w:ilvl w:val="0"/>
                <w:numId w:val="8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Invasive</w:t>
            </w:r>
          </w:p>
          <w:p>
            <w:pPr>
              <w:pStyle w:val="4"/>
              <w:numPr>
                <w:ilvl w:val="0"/>
                <w:numId w:val="8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Damage to the ocular tissues</w:t>
            </w:r>
          </w:p>
        </w:tc>
        <w:tc>
          <w:tcPr>
            <w:tcW w:w="2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9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Utilizes the trans-scleral pathway to deliver drugs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 [23]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Intravitreal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0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Blood retinal barrier</w:t>
            </w:r>
          </w:p>
          <w:p>
            <w:pPr>
              <w:pStyle w:val="4"/>
              <w:numPr>
                <w:ilvl w:val="0"/>
                <w:numId w:val="10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Transient diffusion of large molecules is hindered by the layers of vitreal body which act as a semi permeable membrane.</w:t>
            </w:r>
          </w:p>
          <w:p>
            <w:pPr>
              <w:pStyle w:val="4"/>
              <w:numPr>
                <w:ilvl w:val="0"/>
                <w:numId w:val="10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The physical membrane barriers of retina such as retinal pigment epithelium (RPE)</w:t>
            </w:r>
          </w:p>
        </w:tc>
        <w:tc>
          <w:tcPr>
            <w:tcW w:w="2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1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Invasive</w:t>
            </w:r>
          </w:p>
          <w:p>
            <w:pPr>
              <w:pStyle w:val="4"/>
              <w:numPr>
                <w:ilvl w:val="0"/>
                <w:numId w:val="11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Various side effects such as Glaucoma, cataract, retinal detachment, haemorrhage, degradation of specialised rods and cones  and bacterial endophthalmitis</w:t>
            </w:r>
          </w:p>
        </w:tc>
        <w:tc>
          <w:tcPr>
            <w:tcW w:w="2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2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Highest bioavailability to the vitreo-retinal-choroidal tissue due to the immense potential to circumnavigate back of the ocular tissue barriers.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[24]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1091" w:type="dxa"/>
            <w:tcBorders>
              <w:top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Suprachoroidal</w:t>
            </w:r>
          </w:p>
        </w:tc>
        <w:tc>
          <w:tcPr>
            <w:tcW w:w="246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3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Choroidal vascularisation</w:t>
            </w:r>
          </w:p>
        </w:tc>
        <w:tc>
          <w:tcPr>
            <w:tcW w:w="271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4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Post operative inflammation and choroidal haemorrhage</w:t>
            </w:r>
          </w:p>
          <w:p>
            <w:pPr>
              <w:pStyle w:val="4"/>
              <w:numPr>
                <w:ilvl w:val="0"/>
                <w:numId w:val="14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Invasive</w:t>
            </w:r>
          </w:p>
        </w:tc>
        <w:tc>
          <w:tcPr>
            <w:tcW w:w="2114" w:type="dxa"/>
            <w:tcBorders>
              <w:top w:val="single" w:color="000000" w:sz="6" w:space="0"/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5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Effective therapeutic concentration reaches vitreous humor and choroid.</w:t>
            </w:r>
          </w:p>
          <w:p>
            <w:pPr>
              <w:pStyle w:val="4"/>
              <w:numPr>
                <w:ilvl w:val="0"/>
                <w:numId w:val="15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An important trans scleral innate route for those bioactives which is administered to the scleral layer.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</w:tcPr>
          <w:p>
            <w:pPr>
              <w:pStyle w:val="4"/>
              <w:numPr>
                <w:ilvl w:val="0"/>
                <w:numId w:val="15"/>
              </w:numPr>
              <w:spacing w:line="480" w:lineRule="auto"/>
              <w:ind w:left="552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pStyle w:val="4"/>
        <w:spacing w:after="200" w:line="480" w:lineRule="auto"/>
        <w:jc w:val="both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  <w:t xml:space="preserve">Supplementary 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</w:rPr>
        <w:t xml:space="preserve">Table 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  <w:t>1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</w:rPr>
        <w:t>: Posterior Segment Delivery Routes and Barriers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5"/>
        <w:tblpPr w:leftFromText="180" w:rightFromText="180" w:vertAnchor="text" w:horzAnchor="page" w:tblpX="607" w:tblpY="144"/>
        <w:tblOverlap w:val="never"/>
        <w:tblW w:w="977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1714"/>
        <w:gridCol w:w="2753"/>
        <w:gridCol w:w="2303"/>
        <w:gridCol w:w="12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781" w:type="dxa"/>
            <w:tcBorders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Disease</w:t>
            </w:r>
          </w:p>
        </w:tc>
        <w:tc>
          <w:tcPr>
            <w:tcW w:w="171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Classification</w:t>
            </w:r>
          </w:p>
        </w:tc>
        <w:tc>
          <w:tcPr>
            <w:tcW w:w="2753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Signs and symptoms</w:t>
            </w:r>
          </w:p>
        </w:tc>
        <w:tc>
          <w:tcPr>
            <w:tcW w:w="2303" w:type="dxa"/>
            <w:tcBorders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Treatment</w:t>
            </w:r>
          </w:p>
        </w:tc>
        <w:tc>
          <w:tcPr>
            <w:tcW w:w="1227" w:type="dxa"/>
            <w:tcBorders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>References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1781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AMD (Age related macular degeneration)</w:t>
            </w: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 Non-exudative- Dry AMD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Break down of photoreceptors, retinal pigment epithelium (RPE) and choriocapillaries</w:t>
            </w:r>
          </w:p>
        </w:tc>
        <w:tc>
          <w:tcPr>
            <w:tcW w:w="2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Administration of specialized high dose of antioxidants, zinc and vitamin supplements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[26]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</w:trPr>
        <w:tc>
          <w:tcPr>
            <w:tcW w:w="1781" w:type="dxa"/>
            <w:vMerge w:val="continue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Exudative -Wet AMD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Growth of abnormal blood vessels behind the retina, macula, disruption of Bruch’s membrane and degeneration of RPE leading to complete loss of vision</w:t>
            </w:r>
          </w:p>
        </w:tc>
        <w:tc>
          <w:tcPr>
            <w:tcW w:w="2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numPr>
                <w:ilvl w:val="0"/>
                <w:numId w:val="16"/>
              </w:numPr>
              <w:spacing w:after="0" w:line="480" w:lineRule="auto"/>
              <w:ind w:left="420" w:leftChars="0" w:hanging="420" w:firstLine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Intravitreal injection of anti-VEGF agents like ranibizumab, pegaptanib sodium and bevacizumab</w:t>
            </w:r>
          </w:p>
          <w:p>
            <w:pPr>
              <w:pStyle w:val="4"/>
              <w:numPr>
                <w:ilvl w:val="0"/>
                <w:numId w:val="16"/>
              </w:numPr>
              <w:spacing w:after="0" w:line="480" w:lineRule="auto"/>
              <w:ind w:left="420" w:leftChars="0" w:hanging="420" w:firstLine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Inj. Pegcetacoplan</w:t>
            </w:r>
          </w:p>
          <w:p>
            <w:pPr>
              <w:pStyle w:val="4"/>
              <w:numPr>
                <w:ilvl w:val="0"/>
                <w:numId w:val="0"/>
              </w:numPr>
              <w:spacing w:after="0" w:line="480" w:lineRule="auto"/>
              <w:ind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Approved by FDA on February 17, 2023).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numPr>
                <w:ilvl w:val="0"/>
                <w:numId w:val="0"/>
              </w:numPr>
              <w:spacing w:after="0" w:line="480" w:lineRule="auto"/>
              <w:ind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[27,28]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1781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DME (Diabetic macular edema)</w:t>
            </w: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Focal or non-cystoid DME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Small aberrations in retinal blood vessels followed by intra-retinal leakage</w:t>
            </w:r>
          </w:p>
        </w:tc>
        <w:tc>
          <w:tcPr>
            <w:tcW w:w="2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With the aid of Corticosteroids and Focal or grid laser therapy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[29]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781" w:type="dxa"/>
            <w:vMerge w:val="continue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Diffuse or cystoids DME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Formation of microcrysts and dilation of retinal capillaries</w:t>
            </w:r>
          </w:p>
        </w:tc>
        <w:tc>
          <w:tcPr>
            <w:tcW w:w="2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NSAIDs, Corticosteroids, Carbonic Anhydrase Inhibitors, Anti VEGF agents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[30]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4" w:hRule="atLeast"/>
        </w:trPr>
        <w:tc>
          <w:tcPr>
            <w:tcW w:w="178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PVR (Proliferative vitreoretinopathy)</w:t>
            </w: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Based on the inflammation of retina: focal, diffuse, subretinal, circumferential</w:t>
            </w:r>
          </w:p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Based on the location of scar tissue: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anterior, posterior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Simple scar formation and proliferation of cells in vitreous and retina</w:t>
            </w:r>
          </w:p>
        </w:tc>
        <w:tc>
          <w:tcPr>
            <w:tcW w:w="2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Vitrectomy, Intravitreal methotrexate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[31]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</w:trPr>
        <w:tc>
          <w:tcPr>
            <w:tcW w:w="178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Uveitis</w:t>
            </w: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Anterior uveitis, intermediate uveitis, posterior uveitis,</w:t>
            </w:r>
          </w:p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 pan-uveitic uveitis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Inflammation occurs in the middle layer of eye (uvea)</w:t>
            </w:r>
          </w:p>
        </w:tc>
        <w:tc>
          <w:tcPr>
            <w:tcW w:w="2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Corticosteroids and immunosuppressive agents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[32]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178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CMV (Cytomegalo virus retinitis)</w:t>
            </w: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Inflammation of the retina, retinal detachment and complete blindness</w:t>
            </w:r>
          </w:p>
        </w:tc>
        <w:tc>
          <w:tcPr>
            <w:tcW w:w="2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Cidofovir, ganciclovir (GCV) and foscarnet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[33]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81" w:type="dxa"/>
            <w:vMerge w:val="restart"/>
            <w:tcBorders>
              <w:top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Diabetic Retinopathy</w:t>
            </w: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Blurred Vision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Chronic hyperglycemia renders damage to retinal blood vessels,with consequential vasculatr abomral leakages and cell death, thereby swelling.</w:t>
            </w:r>
          </w:p>
        </w:tc>
        <w:tc>
          <w:tcPr>
            <w:tcW w:w="2303" w:type="dxa"/>
            <w:vMerge w:val="restart"/>
            <w:tcBorders>
              <w:top w:val="single" w:color="000000" w:sz="6" w:space="0"/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numPr>
                <w:ilvl w:val="0"/>
                <w:numId w:val="17"/>
              </w:numPr>
              <w:spacing w:after="0" w:line="480" w:lineRule="auto"/>
              <w:ind w:left="420" w:leftChars="0" w:hanging="420" w:firstLine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Laser photocoagulation</w:t>
            </w:r>
          </w:p>
          <w:p>
            <w:pPr>
              <w:pStyle w:val="4"/>
              <w:numPr>
                <w:ilvl w:val="0"/>
                <w:numId w:val="17"/>
              </w:numPr>
              <w:spacing w:after="0" w:line="480" w:lineRule="auto"/>
              <w:ind w:left="420" w:leftChars="0" w:hanging="420" w:firstLine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Anti-VEGF medications</w:t>
            </w:r>
          </w:p>
          <w:p>
            <w:pPr>
              <w:pStyle w:val="4"/>
              <w:numPr>
                <w:ilvl w:val="0"/>
                <w:numId w:val="17"/>
              </w:numPr>
              <w:spacing w:after="0" w:line="480" w:lineRule="auto"/>
              <w:ind w:left="420" w:leftChars="0" w:hanging="420" w:firstLine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Steroid injections</w:t>
            </w:r>
          </w:p>
          <w:p>
            <w:pPr>
              <w:pStyle w:val="4"/>
              <w:numPr>
                <w:ilvl w:val="0"/>
                <w:numId w:val="17"/>
              </w:numPr>
              <w:spacing w:after="0" w:line="480" w:lineRule="auto"/>
              <w:ind w:left="420" w:leftChars="0" w:hanging="420" w:firstLine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Laser Therapy</w:t>
            </w:r>
          </w:p>
        </w:tc>
        <w:tc>
          <w:tcPr>
            <w:tcW w:w="1227" w:type="dxa"/>
            <w:vMerge w:val="restart"/>
            <w:tcBorders>
              <w:top w:val="single" w:color="000000" w:sz="6" w:space="0"/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numPr>
                <w:numId w:val="0"/>
              </w:numPr>
              <w:spacing w:after="0" w:line="480" w:lineRule="auto"/>
              <w:ind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[34]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81" w:type="dxa"/>
            <w:vMerge w:val="continue"/>
            <w:tcBorders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Floaters in visual field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Bleeding in th vitreous humor due to the aforementioned damage and rapid formation of new blood vessels.</w:t>
            </w:r>
          </w:p>
        </w:tc>
        <w:tc>
          <w:tcPr>
            <w:tcW w:w="2303" w:type="dxa"/>
            <w:vMerge w:val="continue"/>
            <w:tcBorders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7" w:type="dxa"/>
            <w:vMerge w:val="continue"/>
            <w:tcBorders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81" w:type="dxa"/>
            <w:vMerge w:val="continue"/>
            <w:tcBorders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Development of blind spots</w:t>
            </w:r>
          </w:p>
        </w:tc>
        <w:tc>
          <w:tcPr>
            <w:tcW w:w="275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Damage to retinal blood vessels</w:t>
            </w:r>
          </w:p>
        </w:tc>
        <w:tc>
          <w:tcPr>
            <w:tcW w:w="2303" w:type="dxa"/>
            <w:vMerge w:val="continue"/>
            <w:tcBorders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7" w:type="dxa"/>
            <w:vMerge w:val="continue"/>
            <w:tcBorders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p>
      <w:pPr>
        <w:pStyle w:val="4"/>
        <w:spacing w:after="200" w:line="480" w:lineRule="auto"/>
        <w:jc w:val="both"/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  <w:t xml:space="preserve">Supplementary 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</w:rPr>
        <w:t xml:space="preserve">Table 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  <w:t>2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</w:rPr>
        <w:t>: Classification of PSEDs with their symptoms and treatment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  <w:t>.</w:t>
      </w:r>
    </w:p>
    <w:tbl>
      <w:tblPr>
        <w:tblStyle w:val="7"/>
        <w:tblW w:w="847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9"/>
        <w:gridCol w:w="4477"/>
        <w:gridCol w:w="14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39" w:type="dxa"/>
            <w:tcBorders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Drug binding to tear proteins</w:t>
            </w:r>
          </w:p>
        </w:tc>
        <w:tc>
          <w:tcPr>
            <w:tcW w:w="4477" w:type="dxa"/>
            <w:tcBorders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18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Reduces the ocular bioavailability</w:t>
            </w:r>
          </w:p>
          <w:p>
            <w:pPr>
              <w:pStyle w:val="4"/>
              <w:numPr>
                <w:ilvl w:val="0"/>
                <w:numId w:val="18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Tear protein – 0.7% of total protein</w:t>
            </w:r>
          </w:p>
          <w:p>
            <w:pPr>
              <w:pStyle w:val="4"/>
              <w:numPr>
                <w:ilvl w:val="0"/>
                <w:numId w:val="18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Protein and efflux transporters</w:t>
            </w:r>
          </w:p>
        </w:tc>
        <w:tc>
          <w:tcPr>
            <w:tcW w:w="1463" w:type="dxa"/>
            <w:tcBorders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[54]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3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Systemic drug absorption</w:t>
            </w:r>
          </w:p>
        </w:tc>
        <w:tc>
          <w:tcPr>
            <w:tcW w:w="4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19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Nasolacrimal drainage</w:t>
            </w:r>
          </w:p>
          <w:p>
            <w:pPr>
              <w:pStyle w:val="4"/>
              <w:numPr>
                <w:ilvl w:val="0"/>
                <w:numId w:val="19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Non productive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[55]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3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Corneal Factors</w:t>
            </w:r>
          </w:p>
        </w:tc>
        <w:tc>
          <w:tcPr>
            <w:tcW w:w="4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Corneal layers- six layered</w:t>
            </w:r>
          </w:p>
          <w:p>
            <w:pPr>
              <w:pStyle w:val="4"/>
              <w:numPr>
                <w:ilvl w:val="0"/>
                <w:numId w:val="20"/>
              </w:numPr>
              <w:spacing w:before="280"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Lipophilic Dua’s layer</w:t>
            </w:r>
          </w:p>
          <w:p>
            <w:pPr>
              <w:pStyle w:val="4"/>
              <w:numPr>
                <w:ilvl w:val="0"/>
                <w:numId w:val="20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Hydrophilic stroma</w:t>
            </w:r>
          </w:p>
          <w:p>
            <w:pPr>
              <w:pStyle w:val="4"/>
              <w:numPr>
                <w:ilvl w:val="0"/>
                <w:numId w:val="20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Endothelium (innermost)- selective permeability, facilitated diffusion, secretary role, maintenance of corneal transparency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   [56]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3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Melanin binding</w:t>
            </w:r>
          </w:p>
        </w:tc>
        <w:tc>
          <w:tcPr>
            <w:tcW w:w="4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Drugs binding to melanin</w:t>
            </w:r>
          </w:p>
          <w:p>
            <w:pPr>
              <w:pStyle w:val="4"/>
              <w:numPr>
                <w:ilvl w:val="0"/>
                <w:numId w:val="21"/>
              </w:numPr>
              <w:spacing w:before="280"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Ephedrine</w:t>
            </w:r>
          </w:p>
          <w:p>
            <w:pPr>
              <w:pStyle w:val="4"/>
              <w:numPr>
                <w:ilvl w:val="0"/>
                <w:numId w:val="21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Timolol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[57]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3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Pre corneal drug loss</w:t>
            </w:r>
          </w:p>
        </w:tc>
        <w:tc>
          <w:tcPr>
            <w:tcW w:w="4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2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Volume of the instillation</w:t>
            </w:r>
          </w:p>
          <w:p>
            <w:pPr>
              <w:pStyle w:val="4"/>
              <w:numPr>
                <w:ilvl w:val="0"/>
                <w:numId w:val="2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pH and partition co efficient</w:t>
            </w:r>
          </w:p>
          <w:p>
            <w:pPr>
              <w:pStyle w:val="4"/>
              <w:numPr>
                <w:ilvl w:val="0"/>
                <w:numId w:val="2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Tonicity</w:t>
            </w:r>
          </w:p>
          <w:p>
            <w:pPr>
              <w:pStyle w:val="4"/>
              <w:numPr>
                <w:ilvl w:val="0"/>
                <w:numId w:val="22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BCS class of drug</w:t>
            </w:r>
          </w:p>
          <w:p>
            <w:pPr>
              <w:pStyle w:val="4"/>
              <w:numPr>
                <w:ilvl w:val="0"/>
                <w:numId w:val="22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Viscosity of the formulation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[58]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39" w:type="dxa"/>
            <w:tcBorders>
              <w:top w:val="single" w:color="000000" w:sz="6" w:space="0"/>
              <w:righ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</w:rPr>
              <w:t>Metabolic parameters</w:t>
            </w:r>
          </w:p>
        </w:tc>
        <w:tc>
          <w:tcPr>
            <w:tcW w:w="4477" w:type="dxa"/>
            <w:tcBorders>
              <w:top w:val="single" w:color="000000" w:sz="6" w:space="0"/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spacing w:after="0" w:line="480" w:lineRule="auto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Enzymes involved</w:t>
            </w:r>
          </w:p>
          <w:p>
            <w:pPr>
              <w:pStyle w:val="4"/>
              <w:numPr>
                <w:ilvl w:val="0"/>
                <w:numId w:val="23"/>
              </w:numPr>
              <w:spacing w:before="280"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Aldo/ ketone reductase</w:t>
            </w:r>
          </w:p>
          <w:p>
            <w:pPr>
              <w:pStyle w:val="4"/>
              <w:numPr>
                <w:ilvl w:val="0"/>
                <w:numId w:val="23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Cyclooxygenase</w:t>
            </w:r>
          </w:p>
          <w:p>
            <w:pPr>
              <w:pStyle w:val="4"/>
              <w:numPr>
                <w:ilvl w:val="0"/>
                <w:numId w:val="23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Monoamine oxidase</w:t>
            </w:r>
          </w:p>
          <w:p>
            <w:pPr>
              <w:pStyle w:val="4"/>
              <w:numPr>
                <w:ilvl w:val="0"/>
                <w:numId w:val="23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Transferase</w:t>
            </w:r>
          </w:p>
          <w:p>
            <w:pPr>
              <w:pStyle w:val="4"/>
              <w:numPr>
                <w:ilvl w:val="0"/>
                <w:numId w:val="23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Hydrolase</w:t>
            </w:r>
          </w:p>
          <w:p>
            <w:pPr>
              <w:pStyle w:val="4"/>
              <w:numPr>
                <w:ilvl w:val="0"/>
                <w:numId w:val="23"/>
              </w:numPr>
              <w:spacing w:after="0"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Aldehyde oxidase</w:t>
            </w:r>
          </w:p>
          <w:p>
            <w:pPr>
              <w:pStyle w:val="4"/>
              <w:numPr>
                <w:ilvl w:val="0"/>
                <w:numId w:val="23"/>
              </w:numPr>
              <w:spacing w:line="480" w:lineRule="auto"/>
              <w:ind w:left="552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  <w:t>Cytochrome P450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bottom"/>
          </w:tcPr>
          <w:p>
            <w:pPr>
              <w:pStyle w:val="4"/>
              <w:numPr>
                <w:ilvl w:val="0"/>
                <w:numId w:val="0"/>
              </w:numPr>
              <w:spacing w:line="480" w:lineRule="auto"/>
              <w:ind w:left="192" w:leftChars="0"/>
              <w:jc w:val="both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/>
              </w:rPr>
              <w:t>[59]</w:t>
            </w:r>
          </w:p>
        </w:tc>
      </w:tr>
    </w:tbl>
    <w:p>
      <w:pP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>
      <w:pPr>
        <w:pStyle w:val="4"/>
        <w:spacing w:after="200" w:line="480" w:lineRule="auto"/>
        <w:jc w:val="both"/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  <w:t xml:space="preserve">Supplemetary 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</w:rPr>
        <w:t>Table 3: Factors affecting intraocular bioavailability</w:t>
      </w:r>
      <w:r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  <w:t>.</w:t>
      </w:r>
    </w:p>
    <w:p>
      <w:pPr>
        <w:pStyle w:val="4"/>
        <w:spacing w:after="200" w:line="480" w:lineRule="auto"/>
        <w:jc w:val="both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Supplementary Figures:</w:t>
      </w:r>
    </w:p>
    <w:p>
      <w:pPr>
        <w:pStyle w:val="4"/>
        <w:spacing w:after="200" w:line="480" w:lineRule="auto"/>
        <w:jc w:val="both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drawing>
          <wp:inline distT="0" distB="0" distL="114300" distR="114300">
            <wp:extent cx="5239385" cy="3642360"/>
            <wp:effectExtent l="0" t="0" r="3175" b="0"/>
            <wp:docPr id="1" name="Picture 1" descr="1-s2.0-S1359644618303994-gr1_l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-s2.0-S1359644618303994-gr1_lrg"/>
                    <pic:cNvPicPr>
                      <a:picLocks noChangeAspect="1"/>
                    </pic:cNvPicPr>
                  </pic:nvPicPr>
                  <pic:blipFill>
                    <a:blip r:embed="rId4"/>
                    <a:srcRect r="554" b="4416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after="200" w:line="480" w:lineRule="auto"/>
        <w:jc w:val="both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Supplementary Figure 1: Conjunctival barriers with respect to their topical administration and topical administration.  Reproduced with permission from [20]. Copyright, Elsevier.</w:t>
      </w:r>
    </w:p>
    <w:p>
      <w:pPr>
        <w:pStyle w:val="4"/>
        <w:spacing w:after="200" w:line="48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  <w:lang w:eastAsia="en-IN"/>
        </w:rPr>
        <w:drawing>
          <wp:inline distT="0" distB="0" distL="0" distR="0">
            <wp:extent cx="5731510" cy="2967355"/>
            <wp:effectExtent l="0" t="0" r="1397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>
      <w:pPr>
        <w:pStyle w:val="4"/>
        <w:spacing w:after="200" w:line="48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Supplementary Figure 2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: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Novel nanoformulations for the treatment of PSEDs</w:t>
      </w:r>
    </w:p>
    <w:p>
      <w:pPr>
        <w:pStyle w:val="4"/>
        <w:spacing w:after="200" w:line="480" w:lineRule="auto"/>
        <w:jc w:val="both"/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</w:pPr>
    </w:p>
    <w:p>
      <w:pPr>
        <w:pStyle w:val="4"/>
        <w:spacing w:after="200" w:line="480" w:lineRule="auto"/>
        <w:jc w:val="both"/>
        <w:rPr>
          <w:rFonts w:hint="default" w:ascii="Times New Roman" w:hAnsi="Times New Roman" w:eastAsia="Times New Roman" w:cs="Times New Roman"/>
          <w:b/>
          <w:color w:val="000000"/>
          <w:sz w:val="20"/>
          <w:szCs w:val="20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C8BF3E"/>
    <w:multiLevelType w:val="singleLevel"/>
    <w:tmpl w:val="FAC8BF3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179258F"/>
    <w:multiLevelType w:val="multilevel"/>
    <w:tmpl w:val="0179258F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2">
    <w:nsid w:val="0E146E8B"/>
    <w:multiLevelType w:val="singleLevel"/>
    <w:tmpl w:val="0E146E8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20592900"/>
    <w:multiLevelType w:val="multilevel"/>
    <w:tmpl w:val="20592900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4">
    <w:nsid w:val="226078E8"/>
    <w:multiLevelType w:val="multilevel"/>
    <w:tmpl w:val="226078E8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5">
    <w:nsid w:val="25F73AB7"/>
    <w:multiLevelType w:val="multilevel"/>
    <w:tmpl w:val="25F73AB7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6">
    <w:nsid w:val="2720277A"/>
    <w:multiLevelType w:val="multilevel"/>
    <w:tmpl w:val="2720277A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7">
    <w:nsid w:val="2BB5689D"/>
    <w:multiLevelType w:val="multilevel"/>
    <w:tmpl w:val="2BB5689D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8">
    <w:nsid w:val="2E18005D"/>
    <w:multiLevelType w:val="multilevel"/>
    <w:tmpl w:val="2E18005D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9">
    <w:nsid w:val="3B95063F"/>
    <w:multiLevelType w:val="multilevel"/>
    <w:tmpl w:val="3B95063F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0">
    <w:nsid w:val="3FF677D7"/>
    <w:multiLevelType w:val="multilevel"/>
    <w:tmpl w:val="3FF677D7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1">
    <w:nsid w:val="42533727"/>
    <w:multiLevelType w:val="multilevel"/>
    <w:tmpl w:val="42533727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2">
    <w:nsid w:val="45313A58"/>
    <w:multiLevelType w:val="multilevel"/>
    <w:tmpl w:val="45313A58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3">
    <w:nsid w:val="46A31A1F"/>
    <w:multiLevelType w:val="multilevel"/>
    <w:tmpl w:val="46A31A1F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4">
    <w:nsid w:val="4B6E051B"/>
    <w:multiLevelType w:val="multilevel"/>
    <w:tmpl w:val="4B6E051B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5">
    <w:nsid w:val="50BB501A"/>
    <w:multiLevelType w:val="multilevel"/>
    <w:tmpl w:val="50BB501A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6">
    <w:nsid w:val="5BC1378D"/>
    <w:multiLevelType w:val="multilevel"/>
    <w:tmpl w:val="5BC1378D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7">
    <w:nsid w:val="5F852A8C"/>
    <w:multiLevelType w:val="multilevel"/>
    <w:tmpl w:val="5F852A8C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8">
    <w:nsid w:val="632850C4"/>
    <w:multiLevelType w:val="multilevel"/>
    <w:tmpl w:val="632850C4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9">
    <w:nsid w:val="65EC499C"/>
    <w:multiLevelType w:val="multilevel"/>
    <w:tmpl w:val="65EC499C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20">
    <w:nsid w:val="666C0220"/>
    <w:multiLevelType w:val="multilevel"/>
    <w:tmpl w:val="666C0220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color w:val="000000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21">
    <w:nsid w:val="6F154B7E"/>
    <w:multiLevelType w:val="multilevel"/>
    <w:tmpl w:val="6F154B7E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22">
    <w:nsid w:val="75075F70"/>
    <w:multiLevelType w:val="multilevel"/>
    <w:tmpl w:val="75075F70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 w:tentative="0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 w:tentative="0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 w:tentative="0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 w:tentative="0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 w:tentative="0">
      <w:start w:val="1"/>
      <w:numFmt w:val="bullet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num w:numId="1">
    <w:abstractNumId w:val="21"/>
  </w:num>
  <w:num w:numId="2">
    <w:abstractNumId w:val="6"/>
  </w:num>
  <w:num w:numId="3">
    <w:abstractNumId w:val="8"/>
  </w:num>
  <w:num w:numId="4">
    <w:abstractNumId w:val="11"/>
  </w:num>
  <w:num w:numId="5">
    <w:abstractNumId w:val="1"/>
  </w:num>
  <w:num w:numId="6">
    <w:abstractNumId w:val="12"/>
  </w:num>
  <w:num w:numId="7">
    <w:abstractNumId w:val="9"/>
  </w:num>
  <w:num w:numId="8">
    <w:abstractNumId w:val="13"/>
  </w:num>
  <w:num w:numId="9">
    <w:abstractNumId w:val="17"/>
  </w:num>
  <w:num w:numId="10">
    <w:abstractNumId w:val="18"/>
  </w:num>
  <w:num w:numId="11">
    <w:abstractNumId w:val="19"/>
  </w:num>
  <w:num w:numId="12">
    <w:abstractNumId w:val="7"/>
  </w:num>
  <w:num w:numId="13">
    <w:abstractNumId w:val="4"/>
  </w:num>
  <w:num w:numId="14">
    <w:abstractNumId w:val="3"/>
  </w:num>
  <w:num w:numId="15">
    <w:abstractNumId w:val="16"/>
  </w:num>
  <w:num w:numId="16">
    <w:abstractNumId w:val="2"/>
  </w:num>
  <w:num w:numId="17">
    <w:abstractNumId w:val="0"/>
  </w:num>
  <w:num w:numId="18">
    <w:abstractNumId w:val="22"/>
  </w:num>
  <w:num w:numId="19">
    <w:abstractNumId w:val="5"/>
  </w:num>
  <w:num w:numId="20">
    <w:abstractNumId w:val="15"/>
  </w:num>
  <w:num w:numId="21">
    <w:abstractNumId w:val="20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C6901"/>
    <w:rsid w:val="0B861DA9"/>
    <w:rsid w:val="0BE37780"/>
    <w:rsid w:val="16443E43"/>
    <w:rsid w:val="1DBD5D23"/>
    <w:rsid w:val="1E51534F"/>
    <w:rsid w:val="230A01C2"/>
    <w:rsid w:val="302B02F0"/>
    <w:rsid w:val="309C6901"/>
    <w:rsid w:val="37572BE8"/>
    <w:rsid w:val="405B2C2B"/>
    <w:rsid w:val="467D3CAA"/>
    <w:rsid w:val="5D123920"/>
    <w:rsid w:val="7E42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1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en-IN" w:eastAsia="en-US" w:bidi="ar-SA"/>
    </w:rPr>
  </w:style>
  <w:style w:type="table" w:customStyle="1" w:styleId="5">
    <w:name w:val="_Style 12"/>
    <w:basedOn w:val="3"/>
    <w:qFormat/>
    <w:uiPriority w:val="0"/>
    <w:tblPr>
      <w:tblCellMar>
        <w:left w:w="0" w:type="dxa"/>
        <w:right w:w="0" w:type="dxa"/>
      </w:tblCellMar>
    </w:tblPr>
  </w:style>
  <w:style w:type="table" w:customStyle="1" w:styleId="6">
    <w:name w:val="_Style 13"/>
    <w:basedOn w:val="3"/>
    <w:qFormat/>
    <w:uiPriority w:val="0"/>
    <w:tblPr>
      <w:tblCellMar>
        <w:left w:w="0" w:type="dxa"/>
        <w:right w:w="0" w:type="dxa"/>
      </w:tblCellMar>
    </w:tblPr>
  </w:style>
  <w:style w:type="table" w:customStyle="1" w:styleId="7">
    <w:name w:val="_Style 14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2023-04-17T21:04:00Z</dcterms:created>
  <dc:creator>D. ASWIN</dc:creator>
  <cp:lastModifiedBy>D. ASWIN</cp:lastModifiedBy>
  <dcterms:modified xsi:type="dcterms:W3CDTF">2023-05-04T17:21:32Z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82BDCA152DF44CEC9386A9150E731831</vt:lpwstr>
  </property>
</Properties>
</file>