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63A018" w14:textId="77777777" w:rsidR="000171BF" w:rsidRDefault="00564A32">
      <w:pPr>
        <w:pStyle w:val="BodyText"/>
        <w:rPr>
          <w:b/>
          <w:bCs/>
        </w:rPr>
      </w:pPr>
      <w:r>
        <w:rPr>
          <w:b/>
          <w:bCs/>
          <w:noProof/>
        </w:rPr>
        <w:drawing>
          <wp:anchor distT="0" distB="0" distL="0" distR="0" simplePos="0" relativeHeight="2" behindDoc="0" locked="0" layoutInCell="0" allowOverlap="1" wp14:anchorId="0363A029" wp14:editId="0363A02A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3788410"/>
            <wp:effectExtent l="0" t="0" r="0" b="0"/>
            <wp:wrapSquare wrapText="largest"/>
            <wp:docPr id="1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63A019" w14:textId="7BEF4622" w:rsidR="000171BF" w:rsidRDefault="00564A32">
      <w:pPr>
        <w:jc w:val="both"/>
      </w:pPr>
      <w:r>
        <w:rPr>
          <w:b/>
          <w:bCs/>
        </w:rPr>
        <w:t xml:space="preserve">Figure 1: (A) </w:t>
      </w:r>
      <w:r>
        <w:rPr>
          <w:bCs/>
        </w:rPr>
        <w:t>The heat map corresponds to one timepoint</w:t>
      </w:r>
      <w:r>
        <w:rPr>
          <w:bCs/>
        </w:rPr>
        <w:t xml:space="preserve"> for each column and one CpG for each row, for the 3452 significantly differentially methylated </w:t>
      </w:r>
      <w:proofErr w:type="spellStart"/>
      <w:r>
        <w:rPr>
          <w:bCs/>
        </w:rPr>
        <w:t>CpGs</w:t>
      </w:r>
      <w:proofErr w:type="spellEnd"/>
      <w:r>
        <w:rPr>
          <w:bCs/>
        </w:rPr>
        <w:t xml:space="preserve">. </w:t>
      </w:r>
      <w:proofErr w:type="spellStart"/>
      <w:r>
        <w:rPr>
          <w:bCs/>
        </w:rPr>
        <w:t>Colors</w:t>
      </w:r>
      <w:proofErr w:type="spellEnd"/>
      <w:r>
        <w:rPr>
          <w:bCs/>
        </w:rPr>
        <w:t xml:space="preserve"> indicate scaled methylation values (M-values) of all the significantly differentially methylated </w:t>
      </w:r>
      <w:proofErr w:type="spellStart"/>
      <w:r>
        <w:rPr>
          <w:bCs/>
        </w:rPr>
        <w:t>CpGs</w:t>
      </w:r>
      <w:proofErr w:type="spellEnd"/>
      <w:r>
        <w:rPr>
          <w:bCs/>
        </w:rPr>
        <w:t xml:space="preserve"> (Bon</w:t>
      </w:r>
      <w:r>
        <w:rPr>
          <w:bCs/>
        </w:rPr>
        <w:t xml:space="preserve">ferroni adjusted P-value &lt; 0.01) obtained from Linear Mixed </w:t>
      </w:r>
      <w:proofErr w:type="spellStart"/>
      <w:r>
        <w:rPr>
          <w:bCs/>
        </w:rPr>
        <w:t>Modeling</w:t>
      </w:r>
      <w:proofErr w:type="spellEnd"/>
      <w:r>
        <w:rPr>
          <w:bCs/>
        </w:rPr>
        <w:t xml:space="preserve">. The </w:t>
      </w:r>
      <w:proofErr w:type="spellStart"/>
      <w:r>
        <w:rPr>
          <w:bCs/>
        </w:rPr>
        <w:t>color</w:t>
      </w:r>
      <w:proofErr w:type="spellEnd"/>
      <w:r>
        <w:rPr>
          <w:bCs/>
        </w:rPr>
        <w:t xml:space="preserve"> key represents scaled M-values from each of the significant </w:t>
      </w:r>
      <w:proofErr w:type="spellStart"/>
      <w:r>
        <w:rPr>
          <w:bCs/>
        </w:rPr>
        <w:t>CpGs</w:t>
      </w:r>
      <w:proofErr w:type="spellEnd"/>
      <w:r>
        <w:rPr>
          <w:bCs/>
        </w:rPr>
        <w:t xml:space="preserve">. Red indicates high methylation level, </w:t>
      </w:r>
      <w:r>
        <w:rPr>
          <w:rFonts w:eastAsia="Cambria"/>
          <w:bCs/>
          <w:lang w:val="en-US" w:eastAsia="en-US" w:bidi="ar-SA"/>
        </w:rPr>
        <w:t xml:space="preserve">yellow indicates intermediate methylation level, and blue indicates low </w:t>
      </w:r>
      <w:r>
        <w:rPr>
          <w:rFonts w:eastAsia="Cambria"/>
          <w:bCs/>
          <w:lang w:val="en-US" w:eastAsia="en-US" w:bidi="ar-SA"/>
        </w:rPr>
        <w:t xml:space="preserve">methylation values. The 8 patterns </w:t>
      </w:r>
      <w:r>
        <w:rPr>
          <w:rFonts w:eastAsia="Cambria"/>
          <w:lang w:val="en-US" w:eastAsia="en-US" w:bidi="ar-SA"/>
        </w:rPr>
        <w:t>(</w:t>
      </w:r>
      <w:r>
        <w:rPr>
          <w:rFonts w:ascii="Times New Roman" w:hAnsi="Times New Roman"/>
        </w:rPr>
        <w:t>P1, P2, P3, P4, P5, P6, P7, P8</w:t>
      </w:r>
      <w:r>
        <w:rPr>
          <w:rFonts w:eastAsia="Cambria"/>
          <w:lang w:val="en-US" w:eastAsia="en-US" w:bidi="ar-SA"/>
        </w:rPr>
        <w:t xml:space="preserve">) </w:t>
      </w:r>
      <w:r>
        <w:rPr>
          <w:rFonts w:eastAsia="Cambria"/>
          <w:bCs/>
          <w:lang w:val="en-US" w:eastAsia="en-US" w:bidi="ar-SA"/>
        </w:rPr>
        <w:t xml:space="preserve">are depicted by 8 different colors, which have classified each CpG. We observe two distinct clusters which largely separates the </w:t>
      </w:r>
      <w:proofErr w:type="spellStart"/>
      <w:r>
        <w:rPr>
          <w:rFonts w:eastAsia="Cambria"/>
          <w:bCs/>
          <w:lang w:val="en-US" w:eastAsia="en-US" w:bidi="ar-SA"/>
        </w:rPr>
        <w:t>CpGs</w:t>
      </w:r>
      <w:proofErr w:type="spellEnd"/>
      <w:r>
        <w:rPr>
          <w:rFonts w:eastAsia="Cambria"/>
          <w:bCs/>
          <w:lang w:val="en-US" w:eastAsia="en-US" w:bidi="ar-SA"/>
        </w:rPr>
        <w:t xml:space="preserve"> into Up and Down Groups, which includes the subgroups </w:t>
      </w:r>
      <w:r>
        <w:rPr>
          <w:rFonts w:eastAsia="Cambria"/>
          <w:bCs/>
          <w:lang w:val="en-US" w:eastAsia="en-US" w:bidi="ar-SA"/>
        </w:rPr>
        <w:t>(Pattern</w:t>
      </w:r>
      <w:r>
        <w:rPr>
          <w:bCs/>
        </w:rPr>
        <w:t>) with at least two up/down trend for each trend.</w:t>
      </w:r>
      <w:r>
        <w:rPr>
          <w:b/>
          <w:bCs/>
        </w:rPr>
        <w:t xml:space="preserve"> (B)-(C) </w:t>
      </w:r>
      <w:r>
        <w:t xml:space="preserve">Mean methylation values (Beta) ± standard error in the Y-axis, for all the significant </w:t>
      </w:r>
      <w:proofErr w:type="spellStart"/>
      <w:r>
        <w:t>CpGs</w:t>
      </w:r>
      <w:proofErr w:type="spellEnd"/>
      <w:r>
        <w:t xml:space="preserve"> from each Group across the 4 timepoints, in the X-axis, are plotted.</w:t>
      </w:r>
    </w:p>
    <w:p w14:paraId="0363A01A" w14:textId="77777777" w:rsidR="000171BF" w:rsidRDefault="00564A32">
      <w:pPr>
        <w:jc w:val="both"/>
      </w:pPr>
      <w:r>
        <w:br w:type="page"/>
      </w:r>
    </w:p>
    <w:p w14:paraId="0363A01B" w14:textId="77777777" w:rsidR="000171BF" w:rsidRDefault="00564A32">
      <w:pPr>
        <w:pStyle w:val="BodyText"/>
        <w:jc w:val="both"/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0" distR="0" simplePos="0" relativeHeight="3" behindDoc="0" locked="0" layoutInCell="0" allowOverlap="1" wp14:anchorId="0363A02B" wp14:editId="0363A02C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6188710"/>
            <wp:effectExtent l="0" t="0" r="0" b="0"/>
            <wp:wrapSquare wrapText="largest"/>
            <wp:docPr id="2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88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63A01C" w14:textId="77777777" w:rsidR="000171BF" w:rsidRDefault="00564A32">
      <w:pPr>
        <w:pStyle w:val="BodyText"/>
        <w:jc w:val="both"/>
      </w:pPr>
      <w:r>
        <w:rPr>
          <w:b/>
          <w:bCs/>
        </w:rPr>
        <w:t>Figure 2: (A), (C)-</w:t>
      </w:r>
      <w:r>
        <w:t>Top 20</w:t>
      </w:r>
      <w:r>
        <w:t xml:space="preserve"> most significant GO Biological Processes enriched by Up and Down trending genes (Bonferroni P-value &lt;0.01), respectively. The size of the circles </w:t>
      </w:r>
      <w:proofErr w:type="gramStart"/>
      <w:r>
        <w:t>depict</w:t>
      </w:r>
      <w:proofErr w:type="gramEnd"/>
      <w:r>
        <w:t xml:space="preserve"> number of significantly differentially methylated genes from our study associated with the process, th</w:t>
      </w:r>
      <w:r>
        <w:t>e colour represents Bonferroni Corrected p-value in continuous scale.</w:t>
      </w:r>
      <w:r>
        <w:rPr>
          <w:b/>
          <w:bCs/>
        </w:rPr>
        <w:t xml:space="preserve"> (B</w:t>
      </w:r>
      <w:proofErr w:type="gramStart"/>
      <w:r>
        <w:rPr>
          <w:b/>
          <w:bCs/>
        </w:rPr>
        <w:t>),(</w:t>
      </w:r>
      <w:proofErr w:type="gramEnd"/>
      <w:r>
        <w:rPr>
          <w:b/>
          <w:bCs/>
        </w:rPr>
        <w:t xml:space="preserve">D)- </w:t>
      </w:r>
      <w:r>
        <w:t>Gene Concept Network using all the significant Up and the Down trending genes respectively, which shows the major Biological Processes, the size of the major Biological Processe</w:t>
      </w:r>
      <w:r>
        <w:t>s are depicted by the number of genes involved in the respective Process.</w:t>
      </w:r>
    </w:p>
    <w:p w14:paraId="0363A01D" w14:textId="77777777" w:rsidR="000171BF" w:rsidRDefault="00564A32">
      <w:pPr>
        <w:pStyle w:val="BodyText"/>
        <w:jc w:val="both"/>
      </w:pPr>
      <w:r>
        <w:rPr>
          <w:noProof/>
        </w:rPr>
        <w:lastRenderedPageBreak/>
        <w:drawing>
          <wp:anchor distT="0" distB="0" distL="0" distR="0" simplePos="0" relativeHeight="4" behindDoc="0" locked="0" layoutInCell="0" allowOverlap="1" wp14:anchorId="0363A02D" wp14:editId="0363A02E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3415665"/>
            <wp:effectExtent l="0" t="0" r="0" b="0"/>
            <wp:wrapSquare wrapText="largest"/>
            <wp:docPr id="3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15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63A01E" w14:textId="77777777" w:rsidR="000171BF" w:rsidRDefault="00564A32">
      <w:pPr>
        <w:pStyle w:val="BodyText"/>
        <w:jc w:val="both"/>
      </w:pPr>
      <w:r>
        <w:rPr>
          <w:b/>
          <w:bCs/>
        </w:rPr>
        <w:t>Figure 3: (A), (B)</w:t>
      </w:r>
      <w:r>
        <w:t xml:space="preserve">- The top 20 Hub Genes obtained from the </w:t>
      </w:r>
      <w:proofErr w:type="gramStart"/>
      <w:r>
        <w:t>Up trending</w:t>
      </w:r>
      <w:proofErr w:type="gramEnd"/>
      <w:r>
        <w:t xml:space="preserve"> genes and their corresponding GO Molecular Functions (FDR p-value &lt;0.05).</w:t>
      </w:r>
      <w:r>
        <w:rPr>
          <w:b/>
          <w:bCs/>
        </w:rPr>
        <w:t xml:space="preserve"> (C), </w:t>
      </w:r>
      <w:r>
        <w:t>(</w:t>
      </w:r>
      <w:r>
        <w:rPr>
          <w:b/>
          <w:bCs/>
        </w:rPr>
        <w:t>D)-</w:t>
      </w:r>
      <w:r>
        <w:t xml:space="preserve"> The top 20 Hub genes with</w:t>
      </w:r>
      <w:r>
        <w:t xml:space="preserve"> the Down trending genes and their corresponding GO Molecular functions. The size of the circles </w:t>
      </w:r>
      <w:proofErr w:type="gramStart"/>
      <w:r>
        <w:t>depict</w:t>
      </w:r>
      <w:proofErr w:type="gramEnd"/>
      <w:r>
        <w:t xml:space="preserve"> the number of genes associated with the specific term and the </w:t>
      </w:r>
      <w:proofErr w:type="spellStart"/>
      <w:r>
        <w:t>color</w:t>
      </w:r>
      <w:proofErr w:type="spellEnd"/>
      <w:r>
        <w:t xml:space="preserve"> indicates the corresponding P-value in continuous scale.</w:t>
      </w:r>
    </w:p>
    <w:p w14:paraId="0363A01F" w14:textId="77777777" w:rsidR="000171BF" w:rsidRDefault="00564A32">
      <w:pPr>
        <w:pStyle w:val="BodyText"/>
        <w:jc w:val="both"/>
      </w:pPr>
      <w:r>
        <w:br w:type="page"/>
      </w:r>
    </w:p>
    <w:p w14:paraId="0363A020" w14:textId="77777777" w:rsidR="000171BF" w:rsidRDefault="00564A32">
      <w:pPr>
        <w:pStyle w:val="BodyText"/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0" distR="0" simplePos="0" relativeHeight="6" behindDoc="0" locked="0" layoutInCell="0" allowOverlap="1" wp14:anchorId="0363A02F" wp14:editId="0363A030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507230" cy="6374130"/>
            <wp:effectExtent l="0" t="0" r="0" b="0"/>
            <wp:wrapTopAndBottom/>
            <wp:docPr id="4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230" cy="6374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63A021" w14:textId="77777777" w:rsidR="000171BF" w:rsidRDefault="00564A32">
      <w:pPr>
        <w:pStyle w:val="BodyText"/>
      </w:pPr>
      <w:r>
        <w:rPr>
          <w:b/>
          <w:bCs/>
        </w:rPr>
        <w:t>Supplementary Figure 1:</w:t>
      </w:r>
      <w:r>
        <w:t xml:space="preserve"> Study flow: an overview of analysis scheme.</w:t>
      </w:r>
    </w:p>
    <w:p w14:paraId="0363A022" w14:textId="77777777" w:rsidR="000171BF" w:rsidRDefault="00564A32">
      <w:pPr>
        <w:pStyle w:val="BodyText"/>
      </w:pPr>
      <w:r>
        <w:br w:type="page"/>
      </w:r>
    </w:p>
    <w:p w14:paraId="0363A023" w14:textId="77777777" w:rsidR="000171BF" w:rsidRDefault="00564A32">
      <w:pPr>
        <w:pStyle w:val="BodyText"/>
        <w:rPr>
          <w:b/>
          <w:bCs/>
        </w:rPr>
      </w:pPr>
      <w:r>
        <w:rPr>
          <w:noProof/>
        </w:rPr>
        <w:lastRenderedPageBreak/>
        <w:drawing>
          <wp:anchor distT="0" distB="0" distL="0" distR="0" simplePos="0" relativeHeight="7" behindDoc="0" locked="0" layoutInCell="0" allowOverlap="1" wp14:anchorId="0363A031" wp14:editId="0363A03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4808220"/>
            <wp:effectExtent l="0" t="0" r="0" b="0"/>
            <wp:wrapSquare wrapText="largest"/>
            <wp:docPr id="5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808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63A024" w14:textId="77777777" w:rsidR="000171BF" w:rsidRDefault="00564A32">
      <w:pPr>
        <w:pStyle w:val="BodyText"/>
        <w:jc w:val="both"/>
        <w:rPr>
          <w:color w:val="3465A4"/>
        </w:rPr>
      </w:pPr>
      <w:r>
        <w:rPr>
          <w:b/>
          <w:bCs/>
          <w:color w:val="3465A4"/>
        </w:rPr>
        <w:t xml:space="preserve">Supplementary Figure 2: </w:t>
      </w:r>
      <w:r>
        <w:rPr>
          <w:color w:val="3465A4"/>
        </w:rPr>
        <w:t xml:space="preserve">Temporal changes in cell type proportion </w:t>
      </w:r>
      <w:proofErr w:type="spellStart"/>
      <w:r>
        <w:rPr>
          <w:color w:val="3465A4"/>
        </w:rPr>
        <w:t>occuring</w:t>
      </w:r>
      <w:proofErr w:type="spellEnd"/>
      <w:r>
        <w:rPr>
          <w:color w:val="3465A4"/>
        </w:rPr>
        <w:t xml:space="preserve"> throughout the period of gestation. </w:t>
      </w:r>
      <w:proofErr w:type="spellStart"/>
      <w:r>
        <w:rPr>
          <w:color w:val="3465A4"/>
        </w:rPr>
        <w:t>Proprtion</w:t>
      </w:r>
      <w:proofErr w:type="spellEnd"/>
      <w:r>
        <w:rPr>
          <w:color w:val="3465A4"/>
        </w:rPr>
        <w:t xml:space="preserve"> of cell types in Y-axis, timepoints in X-axis.</w:t>
      </w:r>
      <w:r>
        <w:br w:type="page"/>
      </w:r>
    </w:p>
    <w:p w14:paraId="0363A025" w14:textId="77777777" w:rsidR="000171BF" w:rsidRDefault="00564A32">
      <w:pPr>
        <w:pStyle w:val="BodyText"/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0" distR="0" simplePos="0" relativeHeight="8" behindDoc="0" locked="0" layoutInCell="0" allowOverlap="1" wp14:anchorId="0363A033" wp14:editId="0363A03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2602865"/>
            <wp:effectExtent l="0" t="0" r="0" b="0"/>
            <wp:wrapSquare wrapText="largest"/>
            <wp:docPr id="6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02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63A026" w14:textId="77777777" w:rsidR="000171BF" w:rsidRDefault="00564A32">
      <w:pPr>
        <w:spacing w:after="140"/>
        <w:jc w:val="both"/>
      </w:pPr>
      <w:r>
        <w:rPr>
          <w:b/>
          <w:bCs/>
        </w:rPr>
        <w:t xml:space="preserve">Supplementary </w:t>
      </w:r>
      <w:r>
        <w:rPr>
          <w:b/>
          <w:bCs/>
        </w:rPr>
        <w:t>Figure 3 (A):</w:t>
      </w:r>
      <w:r>
        <w:t xml:space="preserve"> A sparse Partial Least Squares Discriminant Analysis (</w:t>
      </w:r>
      <w:proofErr w:type="spellStart"/>
      <w:r>
        <w:t>sPLS</w:t>
      </w:r>
      <w:proofErr w:type="spellEnd"/>
      <w:r>
        <w:t xml:space="preserve">-DA) of the </w:t>
      </w:r>
      <w:proofErr w:type="spellStart"/>
      <w:r>
        <w:t>CpGs</w:t>
      </w:r>
      <w:proofErr w:type="spellEnd"/>
      <w:r>
        <w:t xml:space="preserve"> with the largest variance in the data, in two dimensions separating the temporal effect in Component 2, showing the co-efficient of the latent variables as the loading</w:t>
      </w:r>
      <w:r>
        <w:t xml:space="preserve"> vectors for each timepoint. Component 1 explains the largest variation in the data (15.59%), stemming from intra-group variability.</w:t>
      </w:r>
      <w:r>
        <w:rPr>
          <w:b/>
          <w:bCs/>
        </w:rPr>
        <w:t xml:space="preserve"> (B) </w:t>
      </w:r>
      <w:r>
        <w:t xml:space="preserve">Proportion of significant </w:t>
      </w:r>
      <w:proofErr w:type="spellStart"/>
      <w:r>
        <w:t>CpGs</w:t>
      </w:r>
      <w:proofErr w:type="spellEnd"/>
      <w:r>
        <w:t xml:space="preserve"> (along Y-axis) residing in each of the genomic regions (X-axis).</w:t>
      </w:r>
      <w:r>
        <w:br w:type="page"/>
      </w:r>
    </w:p>
    <w:p w14:paraId="0363A027" w14:textId="77777777" w:rsidR="000171BF" w:rsidRDefault="00564A32">
      <w:pPr>
        <w:pStyle w:val="BodyText"/>
        <w:jc w:val="both"/>
        <w:rPr>
          <w:bCs/>
        </w:rPr>
      </w:pPr>
      <w:r>
        <w:rPr>
          <w:bCs/>
          <w:noProof/>
        </w:rPr>
        <w:lastRenderedPageBreak/>
        <w:drawing>
          <wp:anchor distT="0" distB="0" distL="0" distR="0" simplePos="0" relativeHeight="5" behindDoc="0" locked="0" layoutInCell="0" allowOverlap="1" wp14:anchorId="0363A035" wp14:editId="0363A036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6120130"/>
            <wp:effectExtent l="0" t="0" r="0" b="0"/>
            <wp:wrapSquare wrapText="largest"/>
            <wp:docPr id="7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63A028" w14:textId="77777777" w:rsidR="000171BF" w:rsidRDefault="00564A32">
      <w:pPr>
        <w:pStyle w:val="BodyText"/>
        <w:jc w:val="both"/>
        <w:rPr>
          <w:color w:val="3465A4"/>
        </w:rPr>
      </w:pPr>
      <w:r>
        <w:rPr>
          <w:b/>
          <w:bCs/>
          <w:color w:val="3465A4"/>
        </w:rPr>
        <w:t>Supplementary Figure</w:t>
      </w:r>
      <w:r>
        <w:rPr>
          <w:b/>
          <w:bCs/>
          <w:color w:val="3465A4"/>
        </w:rPr>
        <w:t xml:space="preserve"> 4:</w:t>
      </w:r>
      <w:r>
        <w:rPr>
          <w:color w:val="3465A4"/>
        </w:rPr>
        <w:t xml:space="preserve"> </w:t>
      </w:r>
      <w:r>
        <w:rPr>
          <w:bCs/>
          <w:color w:val="3465A4"/>
        </w:rPr>
        <w:t xml:space="preserve">The heat map corresponds to one timepoint for each column and one CpG for each row, for the 125 significantly differentially methylated </w:t>
      </w:r>
      <w:proofErr w:type="spellStart"/>
      <w:r>
        <w:rPr>
          <w:bCs/>
          <w:color w:val="3465A4"/>
        </w:rPr>
        <w:t>CpGs</w:t>
      </w:r>
      <w:proofErr w:type="spellEnd"/>
      <w:r>
        <w:rPr>
          <w:bCs/>
          <w:color w:val="3465A4"/>
        </w:rPr>
        <w:t xml:space="preserve"> from 76 unique genes related to T cell related pathways. </w:t>
      </w:r>
      <w:proofErr w:type="spellStart"/>
      <w:r>
        <w:rPr>
          <w:bCs/>
          <w:color w:val="3465A4"/>
        </w:rPr>
        <w:t>Color</w:t>
      </w:r>
      <w:proofErr w:type="spellEnd"/>
      <w:r>
        <w:rPr>
          <w:bCs/>
          <w:color w:val="3465A4"/>
        </w:rPr>
        <w:t xml:space="preserve"> key represents methylation values (beta values) </w:t>
      </w:r>
      <w:r>
        <w:rPr>
          <w:bCs/>
          <w:color w:val="3465A4"/>
        </w:rPr>
        <w:t xml:space="preserve">of the specific </w:t>
      </w:r>
      <w:proofErr w:type="spellStart"/>
      <w:r>
        <w:rPr>
          <w:bCs/>
          <w:color w:val="3465A4"/>
        </w:rPr>
        <w:t>CpGs</w:t>
      </w:r>
      <w:proofErr w:type="spellEnd"/>
      <w:r>
        <w:rPr>
          <w:bCs/>
          <w:color w:val="3465A4"/>
        </w:rPr>
        <w:t xml:space="preserve">. The T cell related </w:t>
      </w:r>
      <w:proofErr w:type="spellStart"/>
      <w:r>
        <w:rPr>
          <w:bCs/>
          <w:color w:val="3465A4"/>
        </w:rPr>
        <w:t>CpGs</w:t>
      </w:r>
      <w:proofErr w:type="spellEnd"/>
      <w:r>
        <w:rPr>
          <w:bCs/>
          <w:color w:val="3465A4"/>
        </w:rPr>
        <w:t xml:space="preserve"> distinctly show 3 patterns (P1, P2, P3). Most predominant pattern being the monotonically increasing methylation trend (up-up-up, P2).</w:t>
      </w:r>
    </w:p>
    <w:sectPr w:rsidR="000171BF">
      <w:pgSz w:w="11906" w:h="16838"/>
      <w:pgMar w:top="1134" w:right="1134" w:bottom="1134" w:left="1134" w:header="0" w:footer="0" w:gutter="0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1"/>
    <w:family w:val="roman"/>
    <w:pitch w:val="variable"/>
  </w:font>
  <w:font w:name="Noto Serif CJK SC">
    <w:panose1 w:val="00000000000000000000"/>
    <w:charset w:val="00"/>
    <w:family w:val="roman"/>
    <w:notTrueType/>
    <w:pitch w:val="default"/>
  </w:font>
  <w:font w:name="Lohit Devanagari">
    <w:altName w:val="Cambria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1"/>
    <w:family w:val="roman"/>
    <w:pitch w:val="variable"/>
  </w:font>
  <w:font w:name="Noto Sans CJK SC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51"/>
  <w:proofState w:spelling="clean" w:grammar="clean"/>
  <w:defaultTabStop w:val="709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71BF"/>
    <w:rsid w:val="000171BF"/>
    <w:rsid w:val="00386C2E"/>
    <w:rsid w:val="00564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63A018"/>
  <w15:docId w15:val="{78240089-75F2-46FA-A878-13C2CDF20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Noto Serif CJK SC" w:hAnsi="Liberation Serif" w:cs="Lohit Devanagari"/>
        <w:kern w:val="2"/>
        <w:sz w:val="24"/>
        <w:szCs w:val="24"/>
        <w:lang w:val="en-IN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Noto Sans CJK SC" w:hAnsi="Liberation Sans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al"/>
    <w:qFormat/>
    <w:pPr>
      <w:suppressLineNumbers/>
    </w:pPr>
    <w:rPr>
      <w:lang/>
    </w:rPr>
  </w:style>
  <w:style w:type="paragraph" w:styleId="Bibliography">
    <w:name w:val="Bibliography"/>
    <w:basedOn w:val="Normal"/>
    <w:qFormat/>
    <w:rPr>
      <w:rFonts w:ascii="Times New Roman" w:hAnsi="Times New 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7</Pages>
  <Words>484</Words>
  <Characters>2762</Characters>
  <Application>Microsoft Office Word</Application>
  <DocSecurity>0</DocSecurity>
  <Lines>23</Lines>
  <Paragraphs>6</Paragraphs>
  <ScaleCrop>false</ScaleCrop>
  <Company/>
  <LinksUpToDate>false</LinksUpToDate>
  <CharactersWithSpaces>3240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Arindam  Maitra</cp:lastModifiedBy>
  <cp:revision>3</cp:revision>
  <dcterms:created xsi:type="dcterms:W3CDTF">2023-05-31T01:12:00Z</dcterms:created>
  <dcterms:modified xsi:type="dcterms:W3CDTF">2023-05-31T01:13:00Z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2023-02-16T22:59:27Z</dcterms:created>
  <dc:creator/>
  <dc:description/>
  <dc:language>en-IN</dc:language>
  <cp:lastModifiedBy/>
  <dcterms:modified xsi:type="dcterms:W3CDTF">2023-05-30T15:24:49Z</dcterms:modified>
  <cp:revision>42</cp:revision>
  <dc:subject/>
  <dc:title/>
</cp:coreProperties>
</file>