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Summary of risk of bias assessment of the included studies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772150" cy="2438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Risk of bias graph: review authors' judgements about each risk of bias item presented as percentages across all included RCTs.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3214688" cy="639127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14688" cy="6391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Risk of bias summary: review authors' judgements about each risk of bias item for each included RCT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Newcastle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i w:val="1"/>
          <w:rtl w:val="0"/>
        </w:rPr>
        <w:t xml:space="preserve">Ottawa Quality Assessment scoring of the included observational cohort study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05"/>
        <w:gridCol w:w="1440"/>
        <w:gridCol w:w="2010"/>
        <w:gridCol w:w="1275"/>
        <w:gridCol w:w="1320"/>
        <w:gridCol w:w="2010"/>
        <w:tblGridChange w:id="0">
          <w:tblGrid>
            <w:gridCol w:w="1305"/>
            <w:gridCol w:w="1440"/>
            <w:gridCol w:w="2010"/>
            <w:gridCol w:w="1275"/>
            <w:gridCol w:w="1320"/>
            <w:gridCol w:w="20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Study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Selection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Comparability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score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 et 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****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High-quality Study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