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A2807" w14:textId="77777777" w:rsidR="001C3CAF" w:rsidRPr="001C3CAF" w:rsidRDefault="001C3CAF" w:rsidP="0044205F">
      <w:pPr>
        <w:rPr>
          <w:rFonts w:ascii="Times New Roman" w:hAnsi="Times New Roman" w:cs="Times New Roman"/>
          <w:b/>
          <w:bCs/>
        </w:rPr>
      </w:pPr>
      <w:proofErr w:type="spellStart"/>
      <w:r w:rsidRPr="001C3CAF">
        <w:rPr>
          <w:rFonts w:ascii="Times New Roman" w:hAnsi="Times New Roman" w:cs="Times New Roman"/>
          <w:b/>
          <w:bCs/>
        </w:rPr>
        <w:t>eMethods</w:t>
      </w:r>
      <w:proofErr w:type="spellEnd"/>
    </w:p>
    <w:p w14:paraId="6D0E93FE" w14:textId="77777777" w:rsidR="001C3CAF" w:rsidRPr="001C3CAF" w:rsidRDefault="001C3CAF" w:rsidP="0044205F">
      <w:pPr>
        <w:rPr>
          <w:rFonts w:ascii="Times New Roman" w:hAnsi="Times New Roman" w:cs="Times New Roman"/>
        </w:rPr>
      </w:pPr>
    </w:p>
    <w:p w14:paraId="6350766D" w14:textId="77777777" w:rsidR="001C3CAF" w:rsidRPr="0085174C" w:rsidRDefault="001C3CAF" w:rsidP="0044205F">
      <w:pPr>
        <w:rPr>
          <w:rFonts w:ascii="Times New Roman" w:hAnsi="Times New Roman" w:cs="Times New Roman"/>
          <w:b/>
          <w:bCs/>
          <w:sz w:val="20"/>
          <w:szCs w:val="20"/>
        </w:rPr>
      </w:pPr>
      <w:r w:rsidRPr="0085174C">
        <w:rPr>
          <w:rFonts w:ascii="Times New Roman" w:hAnsi="Times New Roman" w:cs="Times New Roman"/>
          <w:b/>
          <w:bCs/>
          <w:sz w:val="20"/>
          <w:szCs w:val="20"/>
        </w:rPr>
        <w:t>Data sources</w:t>
      </w:r>
    </w:p>
    <w:p w14:paraId="20DC16E1" w14:textId="77777777" w:rsidR="001C3CAF" w:rsidRPr="0085174C" w:rsidRDefault="001C3CAF" w:rsidP="0044205F">
      <w:pPr>
        <w:rPr>
          <w:rFonts w:ascii="Times New Roman" w:hAnsi="Times New Roman" w:cs="Times New Roman"/>
          <w:b/>
          <w:bCs/>
          <w:sz w:val="20"/>
          <w:szCs w:val="20"/>
        </w:rPr>
      </w:pPr>
    </w:p>
    <w:p w14:paraId="36668311" w14:textId="77777777" w:rsidR="001C3CAF" w:rsidRPr="0085174C" w:rsidRDefault="001C3CAF" w:rsidP="0044205F">
      <w:pPr>
        <w:rPr>
          <w:rFonts w:ascii="Times New Roman" w:hAnsi="Times New Roman" w:cs="Times New Roman"/>
          <w:sz w:val="20"/>
          <w:szCs w:val="20"/>
        </w:rPr>
      </w:pPr>
      <w:r w:rsidRPr="0085174C">
        <w:rPr>
          <w:rFonts w:ascii="Times New Roman" w:hAnsi="Times New Roman" w:cs="Times New Roman"/>
          <w:sz w:val="20"/>
          <w:szCs w:val="20"/>
        </w:rPr>
        <w:t>Data on baseline patient demographics, tumour characteristics, treatment regimens, and timing of infusions were collected through chart review via the electronic medical record system.</w:t>
      </w:r>
    </w:p>
    <w:p w14:paraId="15BEE80A" w14:textId="77777777" w:rsidR="001C3CAF" w:rsidRPr="0085174C" w:rsidRDefault="001C3CAF" w:rsidP="0044205F">
      <w:pPr>
        <w:rPr>
          <w:rFonts w:ascii="Times New Roman" w:hAnsi="Times New Roman" w:cs="Times New Roman"/>
          <w:b/>
          <w:bCs/>
          <w:sz w:val="20"/>
          <w:szCs w:val="20"/>
        </w:rPr>
      </w:pPr>
    </w:p>
    <w:p w14:paraId="57D87856" w14:textId="77777777" w:rsidR="001C3CAF" w:rsidRPr="0085174C" w:rsidRDefault="001C3CAF" w:rsidP="0044205F">
      <w:pPr>
        <w:rPr>
          <w:rFonts w:ascii="Times New Roman" w:hAnsi="Times New Roman" w:cs="Times New Roman"/>
          <w:b/>
          <w:bCs/>
          <w:sz w:val="20"/>
          <w:szCs w:val="20"/>
        </w:rPr>
      </w:pPr>
      <w:r w:rsidRPr="0085174C">
        <w:rPr>
          <w:rFonts w:ascii="Times New Roman" w:hAnsi="Times New Roman" w:cs="Times New Roman"/>
          <w:b/>
          <w:bCs/>
          <w:sz w:val="20"/>
          <w:szCs w:val="20"/>
        </w:rPr>
        <w:t>Variable definitions</w:t>
      </w:r>
    </w:p>
    <w:p w14:paraId="268D57A1" w14:textId="77777777" w:rsidR="001C3CAF" w:rsidRPr="0085174C" w:rsidRDefault="001C3CAF" w:rsidP="0044205F">
      <w:pPr>
        <w:rPr>
          <w:rFonts w:ascii="Times New Roman" w:hAnsi="Times New Roman" w:cs="Times New Roman"/>
          <w:sz w:val="20"/>
          <w:szCs w:val="20"/>
          <w:u w:val="single"/>
        </w:rPr>
      </w:pPr>
    </w:p>
    <w:p w14:paraId="176793E8" w14:textId="77777777" w:rsidR="001C3CAF" w:rsidRPr="0085174C" w:rsidRDefault="001C3CAF" w:rsidP="0044205F">
      <w:pPr>
        <w:rPr>
          <w:rFonts w:ascii="Times New Roman" w:hAnsi="Times New Roman" w:cs="Times New Roman"/>
          <w:sz w:val="20"/>
          <w:szCs w:val="20"/>
        </w:rPr>
      </w:pPr>
      <w:r w:rsidRPr="0085174C">
        <w:rPr>
          <w:rFonts w:ascii="Times New Roman" w:hAnsi="Times New Roman" w:cs="Times New Roman"/>
          <w:sz w:val="20"/>
          <w:szCs w:val="20"/>
          <w:u w:val="single"/>
        </w:rPr>
        <w:t>Timing of infusion</w:t>
      </w:r>
      <w:r w:rsidRPr="0085174C">
        <w:rPr>
          <w:rFonts w:ascii="Times New Roman" w:hAnsi="Times New Roman" w:cs="Times New Roman"/>
          <w:sz w:val="20"/>
          <w:szCs w:val="20"/>
        </w:rPr>
        <w:t xml:space="preserve"> was defined by the median infusion time for each individual treatment.</w:t>
      </w:r>
    </w:p>
    <w:p w14:paraId="7BA1EBA4" w14:textId="77777777" w:rsidR="001C3CAF" w:rsidRPr="0085174C" w:rsidRDefault="001C3CAF" w:rsidP="0044205F">
      <w:pPr>
        <w:rPr>
          <w:rFonts w:ascii="Times New Roman" w:hAnsi="Times New Roman" w:cs="Times New Roman"/>
          <w:sz w:val="20"/>
          <w:szCs w:val="20"/>
          <w:u w:val="single"/>
        </w:rPr>
      </w:pPr>
    </w:p>
    <w:p w14:paraId="0DD9F3E8" w14:textId="77777777" w:rsidR="001C3CAF" w:rsidRPr="0085174C" w:rsidRDefault="001C3CAF" w:rsidP="0044205F">
      <w:pPr>
        <w:rPr>
          <w:rFonts w:ascii="Times New Roman" w:hAnsi="Times New Roman" w:cs="Times New Roman"/>
          <w:sz w:val="20"/>
          <w:szCs w:val="20"/>
        </w:rPr>
      </w:pPr>
      <w:r w:rsidRPr="0085174C">
        <w:rPr>
          <w:rFonts w:ascii="Times New Roman" w:hAnsi="Times New Roman" w:cs="Times New Roman"/>
          <w:sz w:val="20"/>
          <w:szCs w:val="20"/>
          <w:u w:val="single"/>
        </w:rPr>
        <w:t xml:space="preserve">Overall survival </w:t>
      </w:r>
      <w:r w:rsidRPr="0085174C">
        <w:rPr>
          <w:rFonts w:ascii="Times New Roman" w:hAnsi="Times New Roman" w:cs="Times New Roman"/>
          <w:sz w:val="20"/>
          <w:szCs w:val="20"/>
        </w:rPr>
        <w:t xml:space="preserve">was defined as death from any cause and indexed from date of first infusion of ICI). Patients lost to follow up were censored at the time of last known contact. </w:t>
      </w:r>
    </w:p>
    <w:p w14:paraId="7D6ED289" w14:textId="77777777" w:rsidR="001C3CAF" w:rsidRPr="0085174C" w:rsidRDefault="001C3CAF" w:rsidP="0044205F">
      <w:pPr>
        <w:rPr>
          <w:rFonts w:ascii="Times New Roman" w:hAnsi="Times New Roman" w:cs="Times New Roman"/>
          <w:sz w:val="20"/>
          <w:szCs w:val="20"/>
        </w:rPr>
      </w:pPr>
    </w:p>
    <w:p w14:paraId="1F8FC802" w14:textId="70D4E0FF" w:rsidR="001C3CAF" w:rsidRPr="0085174C" w:rsidRDefault="001C3CAF" w:rsidP="0044205F">
      <w:pPr>
        <w:rPr>
          <w:rFonts w:ascii="Times New Roman" w:hAnsi="Times New Roman" w:cs="Times New Roman"/>
          <w:sz w:val="20"/>
          <w:szCs w:val="20"/>
        </w:rPr>
      </w:pPr>
      <w:r w:rsidRPr="0085174C">
        <w:rPr>
          <w:rFonts w:ascii="Times New Roman" w:hAnsi="Times New Roman" w:cs="Times New Roman"/>
          <w:sz w:val="20"/>
          <w:szCs w:val="20"/>
          <w:u w:val="single"/>
        </w:rPr>
        <w:t>Objective response rate</w:t>
      </w:r>
      <w:r w:rsidRPr="0085174C">
        <w:rPr>
          <w:rFonts w:ascii="Times New Roman" w:hAnsi="Times New Roman" w:cs="Times New Roman"/>
          <w:sz w:val="20"/>
          <w:szCs w:val="20"/>
        </w:rPr>
        <w:t xml:space="preserve"> was defined as per RECIST v1.1 criteria.</w:t>
      </w:r>
      <w:r w:rsidRPr="0085174C">
        <w:rPr>
          <w:rFonts w:ascii="Times New Roman" w:hAnsi="Times New Roman" w:cs="Times New Roman"/>
          <w:sz w:val="20"/>
          <w:szCs w:val="20"/>
        </w:rPr>
        <w:fldChar w:fldCharType="begin">
          <w:fldData xml:space="preserve">PEVuZE5vdGU+PENpdGU+PEF1dGhvcj5FaXNlbmhhdWVyPC9BdXRob3I+PFllYXI+MjAwOTwvWWVh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</w:fldData>
        </w:fldChar>
      </w:r>
      <w:r w:rsidRPr="0085174C">
        <w:rPr>
          <w:rFonts w:ascii="Times New Roman" w:hAnsi="Times New Roman" w:cs="Times New Roman"/>
          <w:sz w:val="20"/>
          <w:szCs w:val="20"/>
        </w:rPr>
        <w:instrText xml:space="preserve"> ADDIN EN.CITE </w:instrText>
      </w:r>
      <w:r w:rsidRPr="0085174C">
        <w:rPr>
          <w:rFonts w:ascii="Times New Roman" w:hAnsi="Times New Roman" w:cs="Times New Roman"/>
          <w:sz w:val="20"/>
          <w:szCs w:val="20"/>
        </w:rPr>
        <w:fldChar w:fldCharType="begin">
          <w:fldData xml:space="preserve">PEVuZE5vdGU+PENpdGU+PEF1dGhvcj5FaXNlbmhhdWVyPC9BdXRob3I+PFllYXI+MjAwOTwvWWVh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</w:fldData>
        </w:fldChar>
      </w:r>
      <w:r w:rsidRPr="0085174C">
        <w:rPr>
          <w:rFonts w:ascii="Times New Roman" w:hAnsi="Times New Roman" w:cs="Times New Roman"/>
          <w:sz w:val="20"/>
          <w:szCs w:val="20"/>
        </w:rPr>
        <w:instrText xml:space="preserve"> ADDIN EN.CITE.DATA </w:instrText>
      </w:r>
      <w:r w:rsidRPr="0085174C">
        <w:rPr>
          <w:rFonts w:ascii="Times New Roman" w:hAnsi="Times New Roman" w:cs="Times New Roman"/>
          <w:sz w:val="20"/>
          <w:szCs w:val="20"/>
        </w:rPr>
      </w:r>
      <w:r w:rsidRPr="0085174C">
        <w:rPr>
          <w:rFonts w:ascii="Times New Roman" w:hAnsi="Times New Roman" w:cs="Times New Roman"/>
          <w:sz w:val="20"/>
          <w:szCs w:val="20"/>
        </w:rPr>
        <w:fldChar w:fldCharType="end"/>
      </w:r>
      <w:r w:rsidRPr="0085174C">
        <w:rPr>
          <w:rFonts w:ascii="Times New Roman" w:hAnsi="Times New Roman" w:cs="Times New Roman"/>
          <w:sz w:val="20"/>
          <w:szCs w:val="20"/>
        </w:rPr>
      </w:r>
      <w:r w:rsidRPr="0085174C">
        <w:rPr>
          <w:rFonts w:ascii="Times New Roman" w:hAnsi="Times New Roman" w:cs="Times New Roman"/>
          <w:sz w:val="20"/>
          <w:szCs w:val="20"/>
        </w:rPr>
        <w:fldChar w:fldCharType="separate"/>
      </w:r>
      <w:r w:rsidRPr="0085174C">
        <w:rPr>
          <w:rFonts w:ascii="Times New Roman" w:hAnsi="Times New Roman" w:cs="Times New Roman"/>
          <w:noProof/>
          <w:sz w:val="20"/>
          <w:szCs w:val="20"/>
          <w:vertAlign w:val="superscript"/>
        </w:rPr>
        <w:t>1</w:t>
      </w:r>
      <w:r w:rsidRPr="0085174C">
        <w:rPr>
          <w:rFonts w:ascii="Times New Roman" w:hAnsi="Times New Roman" w:cs="Times New Roman"/>
          <w:sz w:val="20"/>
          <w:szCs w:val="20"/>
        </w:rPr>
        <w:fldChar w:fldCharType="end"/>
      </w:r>
      <w:r w:rsidRPr="0085174C">
        <w:rPr>
          <w:rFonts w:ascii="Times New Roman" w:hAnsi="Times New Roman" w:cs="Times New Roman"/>
          <w:sz w:val="20"/>
          <w:szCs w:val="20"/>
        </w:rPr>
        <w:t xml:space="preserve"> The standard of care at our institution was to do restaging CT scans every four cycles to assess for disease response.</w:t>
      </w:r>
    </w:p>
    <w:p w14:paraId="69F8C07A" w14:textId="77777777" w:rsidR="001C3CAF" w:rsidRPr="0085174C" w:rsidRDefault="001C3CAF" w:rsidP="0044205F">
      <w:pPr>
        <w:rPr>
          <w:rFonts w:ascii="Times New Roman" w:hAnsi="Times New Roman" w:cs="Times New Roman"/>
          <w:sz w:val="20"/>
          <w:szCs w:val="20"/>
        </w:rPr>
      </w:pPr>
    </w:p>
    <w:p w14:paraId="06FCFAAA" w14:textId="56A00752" w:rsidR="001C3CAF" w:rsidRPr="0085174C" w:rsidRDefault="001C3CAF" w:rsidP="0044205F">
      <w:pPr>
        <w:rPr>
          <w:rFonts w:ascii="Times New Roman" w:hAnsi="Times New Roman" w:cs="Times New Roman"/>
          <w:sz w:val="20"/>
          <w:szCs w:val="20"/>
        </w:rPr>
      </w:pPr>
      <w:r w:rsidRPr="0085174C">
        <w:rPr>
          <w:rFonts w:ascii="Times New Roman" w:hAnsi="Times New Roman" w:cs="Times New Roman"/>
          <w:sz w:val="20"/>
          <w:szCs w:val="20"/>
          <w:u w:val="single"/>
        </w:rPr>
        <w:t>Immune related adverse events</w:t>
      </w:r>
      <w:r w:rsidRPr="0085174C">
        <w:rPr>
          <w:rFonts w:ascii="Times New Roman" w:hAnsi="Times New Roman" w:cs="Times New Roman"/>
          <w:sz w:val="20"/>
          <w:szCs w:val="20"/>
        </w:rPr>
        <w:t xml:space="preserve"> severity was defined by the Common Terminology Criteria for Adverse Events (CTCAE) version 5.0.</w:t>
      </w:r>
      <w:r w:rsidRPr="0085174C">
        <w:rPr>
          <w:rFonts w:ascii="Times New Roman" w:hAnsi="Times New Roman" w:cs="Times New Roman"/>
          <w:sz w:val="20"/>
          <w:szCs w:val="20"/>
        </w:rPr>
        <w:fldChar w:fldCharType="begin"/>
      </w:r>
      <w:r w:rsidRPr="0085174C">
        <w:rPr>
          <w:rFonts w:ascii="Times New Roman" w:hAnsi="Times New Roman" w:cs="Times New Roman"/>
          <w:sz w:val="20"/>
          <w:szCs w:val="20"/>
        </w:rPr>
        <w:instrText xml:space="preserve"> ADDIN EN.CITE &lt;EndNote&gt;&lt;Cite&gt;&lt;Year&gt;2017&lt;/Year&gt;&lt;RecNum&gt;1528&lt;/RecNum&gt;&lt;DisplayText&gt;&lt;style face="superscript"&gt;2&lt;/style&gt;&lt;/DisplayText&gt;&lt;record&gt;&lt;rec-number&gt;1528&lt;/rec-number&gt;&lt;foreign-keys&gt;&lt;key app="EN" db-id="s902zvspptre5re2ta75p59o9w5rsss0tds5" timestamp="1612725896"&gt;1528&lt;/key&gt;&lt;/foreign-keys&gt;&lt;ref-type name="Web Page"&gt;12&lt;/ref-type&gt;&lt;contributors&gt;&lt;/contributors&gt;&lt;titles&gt;&lt;title&gt;Common Terminology Criteria for Adverse Events (CTCAE) Version 5.0&lt;/title&gt;&lt;/titles&gt;&lt;number&gt;February 7, 2021&lt;/number&gt;&lt;dates&gt;&lt;year&gt;2017&lt;/year&gt;&lt;/dates&gt;&lt;publisher&gt;U.S. Department of Health and Human Services, National Institutes of Health&lt;/publisher&gt;&lt;urls&gt;&lt;related-urls&gt;&lt;url&gt;https://ctep.cancer.gov/protocoldevelopment/electronic_applications/docs/CTCAE_v5_Quick_Reference_8.5x11.pdf&lt;/url&gt;&lt;/related-urls&gt;&lt;/urls&gt;&lt;/record&gt;&lt;/Cite&gt;&lt;/EndNote&gt;</w:instrText>
      </w:r>
      <w:r w:rsidRPr="0085174C">
        <w:rPr>
          <w:rFonts w:ascii="Times New Roman" w:hAnsi="Times New Roman" w:cs="Times New Roman"/>
          <w:sz w:val="20"/>
          <w:szCs w:val="20"/>
        </w:rPr>
        <w:fldChar w:fldCharType="separate"/>
      </w:r>
      <w:r w:rsidRPr="0085174C">
        <w:rPr>
          <w:rFonts w:ascii="Times New Roman" w:hAnsi="Times New Roman" w:cs="Times New Roman"/>
          <w:noProof/>
          <w:sz w:val="20"/>
          <w:szCs w:val="20"/>
          <w:vertAlign w:val="superscript"/>
        </w:rPr>
        <w:t>2</w:t>
      </w:r>
      <w:r w:rsidRPr="0085174C">
        <w:rPr>
          <w:rFonts w:ascii="Times New Roman" w:hAnsi="Times New Roman" w:cs="Times New Roman"/>
          <w:sz w:val="20"/>
          <w:szCs w:val="20"/>
        </w:rPr>
        <w:fldChar w:fldCharType="end"/>
      </w:r>
    </w:p>
    <w:p w14:paraId="32290647" w14:textId="77777777" w:rsidR="001C3CAF" w:rsidRPr="0085174C" w:rsidRDefault="001C3CAF" w:rsidP="0044205F">
      <w:pPr>
        <w:rPr>
          <w:rFonts w:ascii="Times New Roman" w:hAnsi="Times New Roman" w:cs="Times New Roman"/>
          <w:sz w:val="20"/>
          <w:szCs w:val="20"/>
        </w:rPr>
      </w:pPr>
    </w:p>
    <w:p w14:paraId="6AE2A64F" w14:textId="77777777" w:rsidR="001C3CAF" w:rsidRPr="0085174C" w:rsidRDefault="001C3CAF" w:rsidP="0044205F">
      <w:pPr>
        <w:rPr>
          <w:rFonts w:ascii="Times New Roman" w:hAnsi="Times New Roman" w:cs="Times New Roman"/>
          <w:b/>
          <w:bCs/>
          <w:sz w:val="20"/>
          <w:szCs w:val="20"/>
        </w:rPr>
      </w:pPr>
      <w:r w:rsidRPr="0085174C">
        <w:rPr>
          <w:rFonts w:ascii="Times New Roman" w:hAnsi="Times New Roman" w:cs="Times New Roman"/>
          <w:b/>
          <w:bCs/>
          <w:sz w:val="20"/>
          <w:szCs w:val="20"/>
        </w:rPr>
        <w:t>Statistical analysis</w:t>
      </w:r>
    </w:p>
    <w:p w14:paraId="141320B5" w14:textId="77777777" w:rsidR="001C3CAF" w:rsidRPr="0085174C" w:rsidRDefault="001C3CAF" w:rsidP="0044205F">
      <w:pPr>
        <w:rPr>
          <w:rFonts w:ascii="Times New Roman" w:hAnsi="Times New Roman" w:cs="Times New Roman"/>
          <w:b/>
          <w:bCs/>
          <w:sz w:val="20"/>
          <w:szCs w:val="20"/>
        </w:rPr>
      </w:pPr>
    </w:p>
    <w:p w14:paraId="3CDA8AE8" w14:textId="77777777" w:rsidR="001C3CAF" w:rsidRPr="0085174C" w:rsidRDefault="001C3CAF" w:rsidP="0044205F">
      <w:pPr>
        <w:rPr>
          <w:rFonts w:ascii="Times New Roman" w:hAnsi="Times New Roman" w:cs="Times New Roman"/>
          <w:sz w:val="20"/>
          <w:szCs w:val="20"/>
        </w:rPr>
      </w:pPr>
      <w:r w:rsidRPr="0085174C">
        <w:rPr>
          <w:rFonts w:ascii="Times New Roman" w:hAnsi="Times New Roman" w:cs="Times New Roman"/>
          <w:sz w:val="20"/>
          <w:szCs w:val="20"/>
        </w:rPr>
        <w:t xml:space="preserve">Patient characteristics were summarized using descriptive statistics (median (interquartile ranges) for continuous variables (as data not normally distributed) and proportions and frequencies for categorical measures). The primary and secondary outcomes were analyzed with the Pearson chi-square test or Fisher’s Exact test, as appropriate, and the Mann-Whitney U. Kaplan–Meier curves were used to estimate median OS and PFS between patients with early versus late timing of infusions. Multivariable logistic regression was applied to estimate hazard ratios (HR) and 95% CI for the associations of timing of infusion with overall survival. </w:t>
      </w:r>
    </w:p>
    <w:p w14:paraId="270FC73E" w14:textId="77777777" w:rsidR="001C3CAF" w:rsidRPr="0085174C" w:rsidRDefault="001C3CAF" w:rsidP="0044205F">
      <w:pPr>
        <w:rPr>
          <w:rFonts w:ascii="Times New Roman" w:hAnsi="Times New Roman" w:cs="Times New Roman"/>
          <w:sz w:val="20"/>
          <w:szCs w:val="20"/>
        </w:rPr>
      </w:pPr>
      <w:r w:rsidRPr="0085174C">
        <w:rPr>
          <w:rFonts w:ascii="Times New Roman" w:hAnsi="Times New Roman" w:cs="Times New Roman"/>
          <w:sz w:val="20"/>
          <w:szCs w:val="20"/>
        </w:rPr>
        <w:t xml:space="preserve">Final stage multivariable models were adjusted for ECOG performance status, baseline prednisone, single versus dual immune checkpoint inhibitor regimen, presence of brain metastases prior to immune checkpoint inhibitor therapy, and gender. </w:t>
      </w:r>
    </w:p>
    <w:p w14:paraId="235B4AA6" w14:textId="77777777" w:rsidR="001C3CAF" w:rsidRPr="0085174C" w:rsidRDefault="001C3CAF" w:rsidP="0044205F">
      <w:pPr>
        <w:rPr>
          <w:rFonts w:ascii="Times New Roman" w:hAnsi="Times New Roman" w:cs="Times New Roman"/>
          <w:sz w:val="20"/>
          <w:szCs w:val="20"/>
        </w:rPr>
      </w:pPr>
      <w:r w:rsidRPr="0085174C">
        <w:rPr>
          <w:rFonts w:ascii="Times New Roman" w:hAnsi="Times New Roman" w:cs="Times New Roman"/>
          <w:sz w:val="20"/>
          <w:szCs w:val="20"/>
        </w:rPr>
        <w:t>Exploratory analyses on the association between time-of-day for the first infusion only, all treatments received, and season of first infusion, were also conducted for OS and PFS.</w:t>
      </w:r>
    </w:p>
    <w:p w14:paraId="004B93D5" w14:textId="77777777" w:rsidR="001C3CAF" w:rsidRPr="0085174C" w:rsidRDefault="001C3CAF" w:rsidP="0044205F">
      <w:pPr>
        <w:rPr>
          <w:rFonts w:ascii="Times New Roman" w:hAnsi="Times New Roman" w:cs="Times New Roman"/>
          <w:sz w:val="20"/>
          <w:szCs w:val="20"/>
        </w:rPr>
      </w:pPr>
      <w:r w:rsidRPr="0085174C">
        <w:rPr>
          <w:rFonts w:ascii="Times New Roman" w:hAnsi="Times New Roman" w:cs="Times New Roman"/>
          <w:sz w:val="20"/>
          <w:szCs w:val="20"/>
        </w:rPr>
        <w:t xml:space="preserve">Statistically significant outcomes were defined by two-sided p&lt;0.05. Statistical analysis was conducted in IBM SPSS version 27 for Windows (Armonk, New York, 2020). </w:t>
      </w:r>
    </w:p>
    <w:p w14:paraId="476E400E" w14:textId="74F7AA76" w:rsidR="00AC2D3E" w:rsidRPr="0085174C" w:rsidRDefault="00AC2D3E" w:rsidP="0044205F">
      <w:pPr>
        <w:rPr>
          <w:rFonts w:ascii="Times New Roman" w:hAnsi="Times New Roman" w:cs="Times New Roman"/>
          <w:sz w:val="20"/>
          <w:szCs w:val="20"/>
        </w:rPr>
      </w:pPr>
    </w:p>
    <w:p w14:paraId="132EC6CC" w14:textId="1FD3915E" w:rsidR="001C3CAF" w:rsidRPr="0085174C" w:rsidRDefault="001C3CAF" w:rsidP="0044205F">
      <w:pPr>
        <w:rPr>
          <w:rFonts w:ascii="Times New Roman" w:hAnsi="Times New Roman" w:cs="Times New Roman"/>
          <w:b/>
          <w:bCs/>
          <w:sz w:val="20"/>
          <w:szCs w:val="20"/>
        </w:rPr>
      </w:pPr>
      <w:r w:rsidRPr="0085174C">
        <w:rPr>
          <w:rFonts w:ascii="Times New Roman" w:hAnsi="Times New Roman" w:cs="Times New Roman"/>
          <w:b/>
          <w:bCs/>
          <w:sz w:val="20"/>
          <w:szCs w:val="20"/>
        </w:rPr>
        <w:t>References</w:t>
      </w:r>
    </w:p>
    <w:p w14:paraId="3993410F" w14:textId="77777777" w:rsidR="001C3CAF" w:rsidRPr="0085174C" w:rsidRDefault="001C3CAF" w:rsidP="0044205F">
      <w:pPr>
        <w:rPr>
          <w:rFonts w:ascii="Times New Roman" w:hAnsi="Times New Roman" w:cs="Times New Roman"/>
          <w:b/>
          <w:bCs/>
          <w:sz w:val="20"/>
          <w:szCs w:val="20"/>
        </w:rPr>
      </w:pPr>
    </w:p>
    <w:p w14:paraId="49713872" w14:textId="77777777" w:rsidR="001C3CAF" w:rsidRPr="0085174C" w:rsidRDefault="001C3CAF" w:rsidP="0044205F">
      <w:pPr>
        <w:pStyle w:val="EndNoteBibliography"/>
        <w:ind w:left="720" w:hanging="720"/>
        <w:rPr>
          <w:rFonts w:ascii="Times New Roman" w:hAnsi="Times New Roman" w:cs="Times New Roman"/>
          <w:noProof/>
          <w:sz w:val="20"/>
          <w:szCs w:val="20"/>
        </w:rPr>
      </w:pPr>
      <w:r w:rsidRPr="0085174C">
        <w:rPr>
          <w:rFonts w:ascii="Times New Roman" w:hAnsi="Times New Roman" w:cs="Times New Roman"/>
          <w:b/>
          <w:bCs/>
          <w:sz w:val="20"/>
          <w:szCs w:val="20"/>
        </w:rPr>
        <w:fldChar w:fldCharType="begin"/>
      </w:r>
      <w:r w:rsidRPr="0085174C">
        <w:rPr>
          <w:rFonts w:ascii="Times New Roman" w:hAnsi="Times New Roman" w:cs="Times New Roman"/>
          <w:b/>
          <w:bCs/>
          <w:sz w:val="20"/>
          <w:szCs w:val="20"/>
        </w:rPr>
        <w:instrText xml:space="preserve"> ADDIN EN.REFLIST </w:instrText>
      </w:r>
      <w:r w:rsidRPr="0085174C">
        <w:rPr>
          <w:rFonts w:ascii="Times New Roman" w:hAnsi="Times New Roman" w:cs="Times New Roman"/>
          <w:b/>
          <w:bCs/>
          <w:sz w:val="20"/>
          <w:szCs w:val="20"/>
        </w:rPr>
        <w:fldChar w:fldCharType="separate"/>
      </w:r>
      <w:r w:rsidRPr="0085174C">
        <w:rPr>
          <w:rFonts w:ascii="Times New Roman" w:hAnsi="Times New Roman" w:cs="Times New Roman"/>
          <w:noProof/>
          <w:sz w:val="20"/>
          <w:szCs w:val="20"/>
        </w:rPr>
        <w:t>1.</w:t>
      </w:r>
      <w:r w:rsidRPr="0085174C">
        <w:rPr>
          <w:rFonts w:ascii="Times New Roman" w:hAnsi="Times New Roman" w:cs="Times New Roman"/>
          <w:noProof/>
          <w:sz w:val="20"/>
          <w:szCs w:val="20"/>
        </w:rPr>
        <w:tab/>
        <w:t xml:space="preserve">Eisenhauer EA, Therasse P, Bogaerts J, et al. New response evaluation criteria in solid tumours: revised RECIST guideline (version 1.1). </w:t>
      </w:r>
      <w:r w:rsidRPr="0085174C">
        <w:rPr>
          <w:rFonts w:ascii="Times New Roman" w:hAnsi="Times New Roman" w:cs="Times New Roman"/>
          <w:i/>
          <w:noProof/>
          <w:sz w:val="20"/>
          <w:szCs w:val="20"/>
        </w:rPr>
        <w:t xml:space="preserve">Eur J Cancer. </w:t>
      </w:r>
      <w:r w:rsidRPr="0085174C">
        <w:rPr>
          <w:rFonts w:ascii="Times New Roman" w:hAnsi="Times New Roman" w:cs="Times New Roman"/>
          <w:noProof/>
          <w:sz w:val="20"/>
          <w:szCs w:val="20"/>
        </w:rPr>
        <w:t>2009;45(2):228-247.</w:t>
      </w:r>
    </w:p>
    <w:p w14:paraId="16D6D44C" w14:textId="0A4F5098" w:rsidR="001C3CAF" w:rsidRPr="0085174C" w:rsidRDefault="001C3CAF" w:rsidP="0044205F">
      <w:pPr>
        <w:pStyle w:val="EndNoteBibliography"/>
        <w:ind w:left="720" w:hanging="720"/>
        <w:rPr>
          <w:rFonts w:ascii="Times New Roman" w:hAnsi="Times New Roman" w:cs="Times New Roman"/>
          <w:noProof/>
          <w:sz w:val="20"/>
          <w:szCs w:val="20"/>
        </w:rPr>
      </w:pPr>
      <w:r w:rsidRPr="0085174C">
        <w:rPr>
          <w:rFonts w:ascii="Times New Roman" w:hAnsi="Times New Roman" w:cs="Times New Roman"/>
          <w:noProof/>
          <w:sz w:val="20"/>
          <w:szCs w:val="20"/>
        </w:rPr>
        <w:t>2.</w:t>
      </w:r>
      <w:r w:rsidRPr="0085174C">
        <w:rPr>
          <w:rFonts w:ascii="Times New Roman" w:hAnsi="Times New Roman" w:cs="Times New Roman"/>
          <w:noProof/>
          <w:sz w:val="20"/>
          <w:szCs w:val="20"/>
        </w:rPr>
        <w:tab/>
        <w:t xml:space="preserve">Common Terminology Criteria for Adverse Events (CTCAE) Version 5.0. U.S. Department of Health and Human Services, National Institutes of Health. </w:t>
      </w:r>
      <w:hyperlink r:id="rId4" w:history="1">
        <w:r w:rsidRPr="0085174C">
          <w:rPr>
            <w:rStyle w:val="Hyperlink"/>
            <w:rFonts w:ascii="Times New Roman" w:hAnsi="Times New Roman" w:cs="Times New Roman"/>
            <w:noProof/>
            <w:sz w:val="20"/>
            <w:szCs w:val="20"/>
          </w:rPr>
          <w:t>https://ctep.cancer.gov/protocoldevelopment/electronic_applications/docs/CTCAE_v5_Quick_Reference_8.5x11.pdf</w:t>
        </w:r>
      </w:hyperlink>
      <w:r w:rsidRPr="0085174C">
        <w:rPr>
          <w:rFonts w:ascii="Times New Roman" w:hAnsi="Times New Roman" w:cs="Times New Roman"/>
          <w:noProof/>
          <w:sz w:val="20"/>
          <w:szCs w:val="20"/>
        </w:rPr>
        <w:t>. Published 2017. Accessed February 7, 2021.</w:t>
      </w:r>
    </w:p>
    <w:p w14:paraId="78D5DA0A" w14:textId="711A3E59" w:rsidR="001C3CAF" w:rsidRPr="0085174C" w:rsidRDefault="001C3CAF" w:rsidP="0044205F">
      <w:pPr>
        <w:rPr>
          <w:rFonts w:ascii="Times New Roman" w:hAnsi="Times New Roman" w:cs="Times New Roman"/>
          <w:b/>
          <w:bCs/>
          <w:sz w:val="20"/>
          <w:szCs w:val="20"/>
        </w:rPr>
      </w:pPr>
      <w:r w:rsidRPr="0085174C">
        <w:rPr>
          <w:rFonts w:ascii="Times New Roman" w:hAnsi="Times New Roman" w:cs="Times New Roman"/>
          <w:b/>
          <w:bCs/>
          <w:sz w:val="20"/>
          <w:szCs w:val="20"/>
        </w:rPr>
        <w:fldChar w:fldCharType="end"/>
      </w:r>
    </w:p>
    <w:sectPr w:rsidR="001C3CAF" w:rsidRPr="0085174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JAMA&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902zvspptre5re2ta75p59o9w5rsss0tds5&quot;&gt;My EndNote Library&lt;record-ids&gt;&lt;item&gt;1432&lt;/item&gt;&lt;item&gt;1528&lt;/item&gt;&lt;/record-ids&gt;&lt;/item&gt;&lt;/Libraries&gt;"/>
  </w:docVars>
  <w:rsids>
    <w:rsidRoot w:val="001C3CAF"/>
    <w:rsid w:val="000A1981"/>
    <w:rsid w:val="00144837"/>
    <w:rsid w:val="001C3CAF"/>
    <w:rsid w:val="00266BA9"/>
    <w:rsid w:val="002E38A7"/>
    <w:rsid w:val="002F2277"/>
    <w:rsid w:val="002F2EAD"/>
    <w:rsid w:val="00373C06"/>
    <w:rsid w:val="00384666"/>
    <w:rsid w:val="004301CA"/>
    <w:rsid w:val="0044205F"/>
    <w:rsid w:val="00445A43"/>
    <w:rsid w:val="004E3761"/>
    <w:rsid w:val="0052161B"/>
    <w:rsid w:val="00562176"/>
    <w:rsid w:val="006603E5"/>
    <w:rsid w:val="0068608E"/>
    <w:rsid w:val="007477C7"/>
    <w:rsid w:val="008000AB"/>
    <w:rsid w:val="00804FCA"/>
    <w:rsid w:val="00824009"/>
    <w:rsid w:val="0085174C"/>
    <w:rsid w:val="008959F2"/>
    <w:rsid w:val="009512F9"/>
    <w:rsid w:val="00965C7A"/>
    <w:rsid w:val="009D6FA3"/>
    <w:rsid w:val="009E6BBE"/>
    <w:rsid w:val="00AC2D3E"/>
    <w:rsid w:val="00B57B04"/>
    <w:rsid w:val="00B77F8E"/>
    <w:rsid w:val="00BB27C5"/>
    <w:rsid w:val="00C253DC"/>
    <w:rsid w:val="00C62160"/>
    <w:rsid w:val="00C85573"/>
    <w:rsid w:val="00CD3329"/>
    <w:rsid w:val="00CE4E53"/>
    <w:rsid w:val="00E301DE"/>
    <w:rsid w:val="00E33491"/>
    <w:rsid w:val="00E55CB6"/>
    <w:rsid w:val="00EB74A5"/>
    <w:rsid w:val="00F141A0"/>
    <w:rsid w:val="00F445BA"/>
    <w:rsid w:val="00FE14FB"/>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603B3836"/>
  <w15:chartTrackingRefBased/>
  <w15:docId w15:val="{D4B20BED-9489-B14C-917D-6067FEC9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1C3CAF"/>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1C3CAF"/>
    <w:rPr>
      <w:rFonts w:ascii="Calibri" w:hAnsi="Calibri" w:cs="Calibri"/>
    </w:rPr>
  </w:style>
  <w:style w:type="paragraph" w:customStyle="1" w:styleId="EndNoteBibliography">
    <w:name w:val="EndNote Bibliography"/>
    <w:basedOn w:val="Normal"/>
    <w:link w:val="EndNoteBibliographyChar"/>
    <w:rsid w:val="001C3CAF"/>
    <w:rPr>
      <w:rFonts w:ascii="Calibri" w:hAnsi="Calibri" w:cs="Calibri"/>
    </w:rPr>
  </w:style>
  <w:style w:type="character" w:customStyle="1" w:styleId="EndNoteBibliographyChar">
    <w:name w:val="EndNote Bibliography Char"/>
    <w:basedOn w:val="DefaultParagraphFont"/>
    <w:link w:val="EndNoteBibliography"/>
    <w:rsid w:val="001C3CAF"/>
    <w:rPr>
      <w:rFonts w:ascii="Calibri" w:hAnsi="Calibri" w:cs="Calibri"/>
    </w:rPr>
  </w:style>
  <w:style w:type="character" w:styleId="Hyperlink">
    <w:name w:val="Hyperlink"/>
    <w:basedOn w:val="DefaultParagraphFont"/>
    <w:uiPriority w:val="99"/>
    <w:unhideWhenUsed/>
    <w:rsid w:val="001C3CAF"/>
    <w:rPr>
      <w:color w:val="0563C1" w:themeColor="hyperlink"/>
      <w:u w:val="single"/>
    </w:rPr>
  </w:style>
  <w:style w:type="character" w:styleId="UnresolvedMention">
    <w:name w:val="Unresolved Mention"/>
    <w:basedOn w:val="DefaultParagraphFont"/>
    <w:uiPriority w:val="99"/>
    <w:semiHidden/>
    <w:unhideWhenUsed/>
    <w:rsid w:val="001C3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tep.cancer.gov/protocoldevelopment/electronic_applications/docs/CTCAE_v5_Quick_Reference_8.5x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530</Words>
  <Characters>3021</Characters>
  <Application>Microsoft Office Word</Application>
  <DocSecurity>0</DocSecurity>
  <Lines>60</Lines>
  <Paragraphs>32</Paragraphs>
  <ScaleCrop>false</ScaleCrop>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Yeung</dc:creator>
  <cp:keywords/>
  <dc:description/>
  <cp:lastModifiedBy>Cynthia Yeung</cp:lastModifiedBy>
  <cp:revision>3</cp:revision>
  <dcterms:created xsi:type="dcterms:W3CDTF">2022-05-01T01:18:00Z</dcterms:created>
  <dcterms:modified xsi:type="dcterms:W3CDTF">2022-05-01T01:41:00Z</dcterms:modified>
</cp:coreProperties>
</file>