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04DC55" w14:textId="77777777" w:rsidR="00801F54" w:rsidRDefault="00801F54" w:rsidP="00801F54">
      <w:pPr>
        <w:spacing w:after="0"/>
        <w:contextualSpacing/>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Supplementary File</w:t>
      </w:r>
    </w:p>
    <w:p w14:paraId="4C8587BD" w14:textId="77777777" w:rsidR="00801F54" w:rsidRDefault="00801F54" w:rsidP="00801F54">
      <w:pPr>
        <w:spacing w:after="0"/>
        <w:contextualSpacing/>
        <w:jc w:val="center"/>
        <w:rPr>
          <w:rFonts w:ascii="Times New Roman" w:eastAsia="Calibri" w:hAnsi="Times New Roman" w:cs="Times New Roman"/>
          <w:b/>
          <w:color w:val="000000"/>
          <w:sz w:val="24"/>
          <w:szCs w:val="24"/>
        </w:rPr>
      </w:pPr>
    </w:p>
    <w:p w14:paraId="63176CC0" w14:textId="1A8A44CC" w:rsidR="00D30ED4" w:rsidRPr="00402950" w:rsidRDefault="00D30ED4" w:rsidP="00402950">
      <w:pPr>
        <w:pStyle w:val="ListParagraph"/>
        <w:numPr>
          <w:ilvl w:val="0"/>
          <w:numId w:val="4"/>
        </w:numPr>
        <w:spacing w:line="360" w:lineRule="auto"/>
        <w:jc w:val="both"/>
        <w:rPr>
          <w:rFonts w:asciiTheme="majorBidi" w:hAnsiTheme="majorBidi" w:cstheme="majorBidi"/>
          <w:b/>
          <w:bCs/>
          <w:color w:val="000000" w:themeColor="text1"/>
          <w:sz w:val="24"/>
          <w:szCs w:val="24"/>
        </w:rPr>
      </w:pPr>
      <w:r w:rsidRPr="00402950">
        <w:rPr>
          <w:rFonts w:asciiTheme="majorBidi" w:hAnsiTheme="majorBidi" w:cstheme="majorBidi"/>
          <w:b/>
          <w:bCs/>
          <w:iCs/>
          <w:color w:val="000000" w:themeColor="text1"/>
          <w:sz w:val="24"/>
          <w:szCs w:val="24"/>
        </w:rPr>
        <w:t xml:space="preserve">Collection of biological samples  </w:t>
      </w:r>
    </w:p>
    <w:p w14:paraId="30AB8ABE" w14:textId="0351FDF1" w:rsidR="00D30ED4" w:rsidRPr="00402950" w:rsidRDefault="00D30ED4" w:rsidP="00D30ED4">
      <w:pPr>
        <w:spacing w:after="0"/>
        <w:contextualSpacing/>
        <w:jc w:val="both"/>
        <w:rPr>
          <w:rFonts w:asciiTheme="majorBidi" w:eastAsia="Calibri" w:hAnsiTheme="majorBidi" w:cstheme="majorBidi"/>
          <w:b/>
          <w:color w:val="000000"/>
          <w:sz w:val="24"/>
          <w:szCs w:val="24"/>
        </w:rPr>
      </w:pPr>
      <w:bookmarkStart w:id="0" w:name="_Hlk101175030"/>
      <w:r w:rsidRPr="00402950">
        <w:rPr>
          <w:rFonts w:asciiTheme="majorBidi" w:hAnsiTheme="majorBidi" w:cstheme="majorBidi"/>
          <w:color w:val="000000" w:themeColor="text1"/>
          <w:sz w:val="24"/>
          <w:szCs w:val="24"/>
        </w:rPr>
        <w:t xml:space="preserve">At the end of the experiment, </w:t>
      </w:r>
      <w:r w:rsidR="00402950">
        <w:rPr>
          <w:rFonts w:asciiTheme="majorBidi" w:hAnsiTheme="majorBidi" w:cstheme="majorBidi"/>
          <w:color w:val="000000" w:themeColor="text1"/>
          <w:sz w:val="24"/>
          <w:szCs w:val="24"/>
        </w:rPr>
        <w:t xml:space="preserve">an </w:t>
      </w:r>
      <w:r w:rsidRPr="00402950">
        <w:rPr>
          <w:rFonts w:asciiTheme="majorBidi" w:hAnsiTheme="majorBidi" w:cstheme="majorBidi"/>
          <w:color w:val="000000" w:themeColor="text1"/>
          <w:sz w:val="24"/>
          <w:szCs w:val="24"/>
        </w:rPr>
        <w:t xml:space="preserve">oral glucose tolerance test was carried out for all groups. After performing the glucose tolerance test, animals in all studied groups were exposed to overnight fasting and then were anesthetized to collect blood samples retro-orbital. Blood samples were centrifuged at 3000×g for 10 min in order to obtain serum samples which </w:t>
      </w:r>
      <w:r w:rsidR="00402950">
        <w:rPr>
          <w:rFonts w:asciiTheme="majorBidi" w:hAnsiTheme="majorBidi" w:cstheme="majorBidi"/>
          <w:color w:val="000000" w:themeColor="text1"/>
          <w:sz w:val="24"/>
          <w:szCs w:val="24"/>
        </w:rPr>
        <w:t>were</w:t>
      </w:r>
      <w:r w:rsidRPr="00402950">
        <w:rPr>
          <w:rFonts w:asciiTheme="majorBidi" w:hAnsiTheme="majorBidi" w:cstheme="majorBidi"/>
          <w:color w:val="000000" w:themeColor="text1"/>
          <w:sz w:val="24"/>
          <w:szCs w:val="24"/>
        </w:rPr>
        <w:t xml:space="preserve"> used to determine serum glucose, insulin, urea, and creatinine levels. Later, animals were sacrificed through cervical dislocation </w:t>
      </w:r>
      <w:r w:rsidR="00402950">
        <w:rPr>
          <w:rFonts w:asciiTheme="majorBidi" w:hAnsiTheme="majorBidi" w:cstheme="majorBidi"/>
          <w:color w:val="000000" w:themeColor="text1"/>
          <w:sz w:val="24"/>
          <w:szCs w:val="24"/>
        </w:rPr>
        <w:t>and</w:t>
      </w:r>
      <w:r w:rsidRPr="00402950">
        <w:rPr>
          <w:rFonts w:asciiTheme="majorBidi" w:hAnsiTheme="majorBidi" w:cstheme="majorBidi"/>
          <w:color w:val="000000" w:themeColor="text1"/>
          <w:sz w:val="24"/>
          <w:szCs w:val="24"/>
        </w:rPr>
        <w:t xml:space="preserve"> these organs were isolated in aliquots (muscle, pancreas</w:t>
      </w:r>
      <w:r w:rsidR="00402950">
        <w:rPr>
          <w:rFonts w:asciiTheme="majorBidi" w:hAnsiTheme="majorBidi" w:cstheme="majorBidi"/>
          <w:color w:val="000000" w:themeColor="text1"/>
          <w:sz w:val="24"/>
          <w:szCs w:val="24"/>
        </w:rPr>
        <w:t>,</w:t>
      </w:r>
      <w:r w:rsidRPr="00402950">
        <w:rPr>
          <w:rFonts w:asciiTheme="majorBidi" w:hAnsiTheme="majorBidi" w:cstheme="majorBidi"/>
          <w:color w:val="000000" w:themeColor="text1"/>
          <w:sz w:val="24"/>
          <w:szCs w:val="24"/>
        </w:rPr>
        <w:t xml:space="preserve"> and kidney) </w:t>
      </w:r>
      <w:bookmarkEnd w:id="0"/>
      <w:r w:rsidRPr="00402950">
        <w:rPr>
          <w:rFonts w:asciiTheme="majorBidi" w:hAnsiTheme="majorBidi" w:cstheme="majorBidi"/>
          <w:color w:val="000000" w:themeColor="text1"/>
          <w:sz w:val="24"/>
          <w:szCs w:val="24"/>
        </w:rPr>
        <w:t xml:space="preserve">tissues. Muscle and kidney tissues were isolated washed and divided into 3 aliquots; the first aliquot </w:t>
      </w:r>
      <w:r w:rsidR="00402950">
        <w:rPr>
          <w:rFonts w:asciiTheme="majorBidi" w:hAnsiTheme="majorBidi" w:cstheme="majorBidi"/>
          <w:color w:val="000000" w:themeColor="text1"/>
          <w:sz w:val="24"/>
          <w:szCs w:val="24"/>
        </w:rPr>
        <w:t xml:space="preserve">was </w:t>
      </w:r>
      <w:r w:rsidRPr="00402950">
        <w:rPr>
          <w:rFonts w:asciiTheme="majorBidi" w:hAnsiTheme="majorBidi" w:cstheme="majorBidi"/>
          <w:color w:val="000000" w:themeColor="text1"/>
          <w:sz w:val="24"/>
          <w:szCs w:val="24"/>
        </w:rPr>
        <w:t xml:space="preserve">used for DNA isolation for the assessment of mitochondria DNA copy number (mtDNA-CN), and the second </w:t>
      </w:r>
      <w:r w:rsidR="00402950">
        <w:rPr>
          <w:rFonts w:asciiTheme="majorBidi" w:hAnsiTheme="majorBidi" w:cstheme="majorBidi"/>
          <w:color w:val="000000" w:themeColor="text1"/>
          <w:sz w:val="24"/>
          <w:szCs w:val="24"/>
        </w:rPr>
        <w:t xml:space="preserve">was </w:t>
      </w:r>
      <w:r w:rsidRPr="00402950">
        <w:rPr>
          <w:rFonts w:asciiTheme="majorBidi" w:hAnsiTheme="majorBidi" w:cstheme="majorBidi"/>
          <w:color w:val="000000" w:themeColor="text1"/>
          <w:sz w:val="24"/>
          <w:szCs w:val="24"/>
        </w:rPr>
        <w:t xml:space="preserve">used for total RNA isolation for the assessment of gene expression, and the third aliquot was homogenized in </w:t>
      </w:r>
      <w:r w:rsidR="00402950">
        <w:rPr>
          <w:rFonts w:asciiTheme="majorBidi" w:hAnsiTheme="majorBidi" w:cstheme="majorBidi"/>
          <w:color w:val="000000" w:themeColor="text1"/>
          <w:sz w:val="24"/>
          <w:szCs w:val="24"/>
        </w:rPr>
        <w:t>phosphate-buffered</w:t>
      </w:r>
      <w:r w:rsidRPr="00402950">
        <w:rPr>
          <w:rFonts w:asciiTheme="majorBidi" w:hAnsiTheme="majorBidi" w:cstheme="majorBidi"/>
          <w:color w:val="000000" w:themeColor="text1"/>
          <w:sz w:val="24"/>
          <w:szCs w:val="24"/>
        </w:rPr>
        <w:t xml:space="preserve"> saline PBS (0.1 M, pH 7.4) in ratio1:9. The homogenates were centrifuged at 10000×g for 10 min at 4 °C. The obtained supernatants were stored in aliquots for subsequent determinations of total protein level by </w:t>
      </w:r>
      <w:r w:rsidR="003075AA">
        <w:rPr>
          <w:rFonts w:asciiTheme="majorBidi" w:hAnsiTheme="majorBidi" w:cstheme="majorBidi"/>
          <w:color w:val="000000" w:themeColor="text1"/>
          <w:sz w:val="24"/>
          <w:szCs w:val="24"/>
        </w:rPr>
        <w:t xml:space="preserve">the </w:t>
      </w:r>
      <w:r w:rsidRPr="00402950">
        <w:rPr>
          <w:rFonts w:asciiTheme="majorBidi" w:hAnsiTheme="majorBidi" w:cstheme="majorBidi"/>
          <w:color w:val="000000" w:themeColor="text1"/>
          <w:sz w:val="24"/>
          <w:szCs w:val="24"/>
        </w:rPr>
        <w:t xml:space="preserve">Lowery method and the protein levels of insulin receptor substrate-1 and -2 (IRS1 and IRS2), AMP-activated protein kinase (AMPK), the mammalian target of rapamycin at Ser 2448 (mTOR), the </w:t>
      </w:r>
      <w:bookmarkStart w:id="1" w:name="_Hlk101175782"/>
      <w:r w:rsidRPr="00402950">
        <w:rPr>
          <w:rFonts w:asciiTheme="majorBidi" w:hAnsiTheme="majorBidi" w:cstheme="majorBidi"/>
          <w:color w:val="000000" w:themeColor="text1"/>
          <w:sz w:val="24"/>
          <w:szCs w:val="24"/>
        </w:rPr>
        <w:t>wingless-Type MMTV Integration Site Family, Member 3A</w:t>
      </w:r>
      <w:r w:rsidR="003075AA">
        <w:rPr>
          <w:rFonts w:asciiTheme="majorBidi" w:hAnsiTheme="majorBidi" w:cstheme="majorBidi"/>
          <w:color w:val="000000" w:themeColor="text1"/>
          <w:sz w:val="24"/>
          <w:szCs w:val="24"/>
        </w:rPr>
        <w:t xml:space="preserve"> </w:t>
      </w:r>
      <w:r w:rsidRPr="00402950">
        <w:rPr>
          <w:rFonts w:asciiTheme="majorBidi" w:hAnsiTheme="majorBidi" w:cstheme="majorBidi"/>
          <w:color w:val="000000" w:themeColor="text1"/>
          <w:sz w:val="24"/>
          <w:szCs w:val="24"/>
        </w:rPr>
        <w:t>(WNT3a)</w:t>
      </w:r>
      <w:bookmarkEnd w:id="1"/>
      <w:r w:rsidRPr="00402950">
        <w:rPr>
          <w:rFonts w:asciiTheme="majorBidi" w:hAnsiTheme="majorBidi" w:cstheme="majorBidi"/>
          <w:color w:val="000000" w:themeColor="text1"/>
          <w:sz w:val="24"/>
          <w:szCs w:val="24"/>
        </w:rPr>
        <w:t xml:space="preserve">, </w:t>
      </w:r>
      <w:bookmarkStart w:id="2" w:name="_Hlk101175745"/>
      <w:r w:rsidRPr="00402950">
        <w:rPr>
          <w:rFonts w:asciiTheme="majorBidi" w:hAnsiTheme="majorBidi" w:cstheme="majorBidi"/>
          <w:color w:val="000000" w:themeColor="text1"/>
          <w:sz w:val="24"/>
          <w:szCs w:val="24"/>
        </w:rPr>
        <w:t>the inactive form of Glycogen synthase kinase-3β at Ser9 (GSK-3β)</w:t>
      </w:r>
      <w:bookmarkEnd w:id="2"/>
      <w:r w:rsidRPr="00402950">
        <w:rPr>
          <w:rFonts w:asciiTheme="majorBidi" w:hAnsiTheme="majorBidi" w:cstheme="majorBidi"/>
          <w:color w:val="000000" w:themeColor="text1"/>
          <w:sz w:val="24"/>
          <w:szCs w:val="24"/>
        </w:rPr>
        <w:t xml:space="preserve">, β-catenin, and </w:t>
      </w:r>
      <w:bookmarkStart w:id="3" w:name="_Hlk101175817"/>
      <w:proofErr w:type="spellStart"/>
      <w:r w:rsidRPr="00402950">
        <w:rPr>
          <w:rFonts w:asciiTheme="majorBidi" w:hAnsiTheme="majorBidi" w:cstheme="majorBidi"/>
          <w:color w:val="000000" w:themeColor="text1"/>
          <w:sz w:val="24"/>
          <w:szCs w:val="24"/>
        </w:rPr>
        <w:t>Forkhead</w:t>
      </w:r>
      <w:proofErr w:type="spellEnd"/>
      <w:r w:rsidRPr="00402950">
        <w:rPr>
          <w:rFonts w:asciiTheme="majorBidi" w:hAnsiTheme="majorBidi" w:cstheme="majorBidi"/>
          <w:color w:val="000000" w:themeColor="text1"/>
          <w:sz w:val="24"/>
          <w:szCs w:val="24"/>
        </w:rPr>
        <w:t xml:space="preserve"> Box O1 (FOXO1)</w:t>
      </w:r>
      <w:bookmarkEnd w:id="3"/>
      <w:r w:rsidRPr="00402950">
        <w:rPr>
          <w:rFonts w:asciiTheme="majorBidi" w:hAnsiTheme="majorBidi" w:cstheme="majorBidi"/>
          <w:color w:val="000000" w:themeColor="text1"/>
          <w:sz w:val="24"/>
          <w:szCs w:val="24"/>
        </w:rPr>
        <w:t xml:space="preserve">. Also, the gene expression of kidney injury molecule-1 (Kim-1) and lipocalin-2 at </w:t>
      </w:r>
      <w:r w:rsidR="003075AA">
        <w:rPr>
          <w:rFonts w:asciiTheme="majorBidi" w:hAnsiTheme="majorBidi" w:cstheme="majorBidi"/>
          <w:color w:val="000000" w:themeColor="text1"/>
          <w:sz w:val="24"/>
          <w:szCs w:val="24"/>
        </w:rPr>
        <w:t xml:space="preserve">the </w:t>
      </w:r>
      <w:r w:rsidRPr="00402950">
        <w:rPr>
          <w:rFonts w:asciiTheme="majorBidi" w:hAnsiTheme="majorBidi" w:cstheme="majorBidi"/>
          <w:color w:val="000000" w:themeColor="text1"/>
          <w:sz w:val="24"/>
          <w:szCs w:val="24"/>
        </w:rPr>
        <w:t>mRNA level (as markers of the renal damage) were assessed. Pancreas and muscle tissues were used for histopathological analyses.</w:t>
      </w:r>
    </w:p>
    <w:p w14:paraId="6B7E2482" w14:textId="77777777" w:rsidR="00D30ED4" w:rsidRDefault="00D30ED4" w:rsidP="00801F54">
      <w:pPr>
        <w:spacing w:after="0"/>
        <w:contextualSpacing/>
        <w:jc w:val="both"/>
        <w:rPr>
          <w:rFonts w:ascii="Times New Roman" w:eastAsia="Calibri" w:hAnsi="Times New Roman" w:cs="Times New Roman"/>
          <w:b/>
          <w:color w:val="000000"/>
          <w:sz w:val="24"/>
          <w:szCs w:val="24"/>
        </w:rPr>
      </w:pPr>
    </w:p>
    <w:p w14:paraId="37160110" w14:textId="77777777" w:rsidR="00F933D8" w:rsidRDefault="00FE30E7" w:rsidP="00F933D8">
      <w:pPr>
        <w:pStyle w:val="ListParagraph"/>
        <w:numPr>
          <w:ilvl w:val="0"/>
          <w:numId w:val="4"/>
        </w:numPr>
        <w:spacing w:line="360" w:lineRule="auto"/>
        <w:jc w:val="both"/>
        <w:rPr>
          <w:rFonts w:asciiTheme="majorBidi" w:hAnsiTheme="majorBidi" w:cstheme="majorBidi"/>
          <w:b/>
          <w:bCs/>
          <w:iCs/>
          <w:color w:val="000000" w:themeColor="text1"/>
          <w:sz w:val="24"/>
          <w:szCs w:val="24"/>
        </w:rPr>
      </w:pPr>
      <w:r w:rsidRPr="00F933D8">
        <w:rPr>
          <w:rFonts w:asciiTheme="majorBidi" w:hAnsiTheme="majorBidi" w:cstheme="majorBidi"/>
          <w:b/>
          <w:bCs/>
          <w:iCs/>
          <w:color w:val="000000" w:themeColor="text1"/>
          <w:sz w:val="24"/>
          <w:szCs w:val="24"/>
        </w:rPr>
        <w:t xml:space="preserve">Biochemical and Molecular Biology Assays </w:t>
      </w:r>
    </w:p>
    <w:p w14:paraId="77DFBE04" w14:textId="138381C4" w:rsidR="002C380A" w:rsidRPr="00F933D8" w:rsidRDefault="00FE30E7" w:rsidP="00F933D8">
      <w:pPr>
        <w:pStyle w:val="ListParagraph"/>
        <w:numPr>
          <w:ilvl w:val="1"/>
          <w:numId w:val="4"/>
        </w:numPr>
        <w:spacing w:line="360" w:lineRule="auto"/>
        <w:jc w:val="both"/>
        <w:rPr>
          <w:rFonts w:asciiTheme="majorBidi" w:hAnsiTheme="majorBidi" w:cstheme="majorBidi"/>
          <w:b/>
          <w:bCs/>
          <w:iCs/>
          <w:color w:val="000000" w:themeColor="text1"/>
          <w:sz w:val="24"/>
          <w:szCs w:val="24"/>
        </w:rPr>
      </w:pPr>
      <w:r w:rsidRPr="00F933D8">
        <w:rPr>
          <w:rFonts w:ascii="Times New Roman" w:hAnsi="Times New Roman" w:cs="Times New Roman"/>
          <w:b/>
          <w:color w:val="000000"/>
          <w:sz w:val="24"/>
          <w:szCs w:val="24"/>
        </w:rPr>
        <w:t>Oral blood glucose tolerance test</w:t>
      </w:r>
      <w:r w:rsidRPr="00F933D8">
        <w:rPr>
          <w:rFonts w:ascii="Times New Roman" w:hAnsi="Times New Roman" w:cs="Times New Roman"/>
          <w:color w:val="000000"/>
          <w:sz w:val="24"/>
          <w:szCs w:val="24"/>
        </w:rPr>
        <w:t xml:space="preserve"> </w:t>
      </w:r>
      <w:r w:rsidRPr="00F933D8">
        <w:rPr>
          <w:rFonts w:ascii="Times New Roman" w:hAnsi="Times New Roman" w:cs="Times New Roman"/>
          <w:b/>
          <w:bCs/>
          <w:color w:val="000000"/>
          <w:sz w:val="24"/>
          <w:szCs w:val="24"/>
        </w:rPr>
        <w:t>(OGTT)</w:t>
      </w:r>
      <w:r w:rsidRPr="00F933D8">
        <w:rPr>
          <w:rFonts w:ascii="Times New Roman" w:hAnsi="Times New Roman" w:cs="Times New Roman"/>
          <w:color w:val="000000"/>
          <w:sz w:val="24"/>
          <w:szCs w:val="24"/>
        </w:rPr>
        <w:t>:</w:t>
      </w:r>
    </w:p>
    <w:p w14:paraId="5D8986C7" w14:textId="3E6D890A" w:rsidR="00FE30E7" w:rsidRPr="002D6B81" w:rsidRDefault="00FE30E7" w:rsidP="00801F54">
      <w:pPr>
        <w:ind w:firstLine="720"/>
        <w:jc w:val="both"/>
        <w:rPr>
          <w:rFonts w:asciiTheme="majorBidi" w:hAnsiTheme="majorBidi" w:cstheme="majorBidi"/>
          <w:sz w:val="24"/>
          <w:szCs w:val="24"/>
        </w:rPr>
      </w:pPr>
      <w:r w:rsidRPr="002D6B81">
        <w:rPr>
          <w:rFonts w:asciiTheme="majorBidi" w:hAnsiTheme="majorBidi" w:cstheme="majorBidi"/>
          <w:sz w:val="24"/>
          <w:szCs w:val="24"/>
        </w:rPr>
        <w:t xml:space="preserve">After 4 weeks of treatment, animals were exposed to overnight fasting followed by collecting blood </w:t>
      </w:r>
      <w:r w:rsidR="00F933D8">
        <w:rPr>
          <w:rFonts w:asciiTheme="majorBidi" w:hAnsiTheme="majorBidi" w:cstheme="majorBidi"/>
          <w:sz w:val="24"/>
          <w:szCs w:val="24"/>
        </w:rPr>
        <w:t>droplets</w:t>
      </w:r>
      <w:r w:rsidRPr="002D6B81">
        <w:rPr>
          <w:rFonts w:asciiTheme="majorBidi" w:hAnsiTheme="majorBidi" w:cstheme="majorBidi"/>
          <w:sz w:val="24"/>
          <w:szCs w:val="24"/>
        </w:rPr>
        <w:t xml:space="preserve"> from the tail vein directly onto the test strip (baseline), then a glucose solution was administered by </w:t>
      </w:r>
      <w:r w:rsidR="001D3C7F" w:rsidRPr="002D6B81">
        <w:rPr>
          <w:rFonts w:asciiTheme="majorBidi" w:hAnsiTheme="majorBidi" w:cstheme="majorBidi"/>
          <w:sz w:val="24"/>
          <w:szCs w:val="24"/>
        </w:rPr>
        <w:t>oral gavage at a dose of 2.5 g/k</w:t>
      </w:r>
      <w:r w:rsidRPr="002D6B81">
        <w:rPr>
          <w:rFonts w:asciiTheme="majorBidi" w:hAnsiTheme="majorBidi" w:cstheme="majorBidi"/>
          <w:sz w:val="24"/>
          <w:szCs w:val="24"/>
        </w:rPr>
        <w:t>g. After glucose administration, blood was collected at different time intervals (30, 60, 90</w:t>
      </w:r>
      <w:r w:rsidR="00F933D8">
        <w:rPr>
          <w:rFonts w:asciiTheme="majorBidi" w:hAnsiTheme="majorBidi" w:cstheme="majorBidi"/>
          <w:sz w:val="24"/>
          <w:szCs w:val="24"/>
        </w:rPr>
        <w:t>,</w:t>
      </w:r>
      <w:r w:rsidRPr="002D6B81">
        <w:rPr>
          <w:rFonts w:asciiTheme="majorBidi" w:hAnsiTheme="majorBidi" w:cstheme="majorBidi"/>
          <w:sz w:val="24"/>
          <w:szCs w:val="24"/>
        </w:rPr>
        <w:t xml:space="preserve"> and 120 min) and the glucose level was determined using Glucometer (ACCU CHEK Active, Roche Co.). The </w:t>
      </w:r>
      <w:r w:rsidRPr="002D6B81">
        <w:rPr>
          <w:rFonts w:asciiTheme="majorBidi" w:hAnsiTheme="majorBidi" w:cstheme="majorBidi"/>
          <w:b/>
          <w:bCs/>
          <w:sz w:val="24"/>
          <w:szCs w:val="24"/>
        </w:rPr>
        <w:t>area under the curve (AUC)</w:t>
      </w:r>
      <w:r w:rsidRPr="002D6B81">
        <w:rPr>
          <w:rFonts w:asciiTheme="majorBidi" w:hAnsiTheme="majorBidi" w:cstheme="majorBidi"/>
          <w:sz w:val="24"/>
          <w:szCs w:val="24"/>
        </w:rPr>
        <w:t xml:space="preserve"> was calculated for </w:t>
      </w:r>
      <w:r w:rsidRPr="002D6B81">
        <w:rPr>
          <w:rFonts w:asciiTheme="majorBidi" w:hAnsiTheme="majorBidi" w:cstheme="majorBidi"/>
          <w:b/>
          <w:bCs/>
          <w:sz w:val="24"/>
          <w:szCs w:val="24"/>
        </w:rPr>
        <w:t>blood glucose levels</w:t>
      </w:r>
      <w:r w:rsidRPr="002D6B81">
        <w:rPr>
          <w:rFonts w:asciiTheme="majorBidi" w:hAnsiTheme="majorBidi" w:cstheme="majorBidi"/>
          <w:sz w:val="24"/>
          <w:szCs w:val="24"/>
        </w:rPr>
        <w:t xml:space="preserve"> during the OGTT according to the following equation:</w:t>
      </w:r>
    </w:p>
    <w:p w14:paraId="00046CB8" w14:textId="5C702720" w:rsidR="002D6B81" w:rsidRPr="002D6B81" w:rsidRDefault="00FE30E7" w:rsidP="00801F54">
      <w:pPr>
        <w:jc w:val="both"/>
        <w:rPr>
          <w:rFonts w:asciiTheme="majorBidi" w:hAnsiTheme="majorBidi" w:cstheme="majorBidi"/>
          <w:b/>
          <w:sz w:val="24"/>
          <w:szCs w:val="24"/>
        </w:rPr>
      </w:pPr>
      <w:r w:rsidRPr="002D6B81">
        <w:rPr>
          <w:rFonts w:asciiTheme="majorBidi" w:hAnsiTheme="majorBidi" w:cstheme="majorBidi"/>
          <w:b/>
          <w:sz w:val="24"/>
          <w:szCs w:val="24"/>
        </w:rPr>
        <w:t>AUC=0.25</w:t>
      </w:r>
      <w:r w:rsidR="00E85EE7" w:rsidRPr="002D6B81">
        <w:rPr>
          <w:rFonts w:asciiTheme="majorBidi" w:hAnsiTheme="majorBidi" w:cstheme="majorBidi"/>
          <w:b/>
          <w:sz w:val="24"/>
          <w:szCs w:val="24"/>
        </w:rPr>
        <w:t>× (</w:t>
      </w:r>
      <w:r w:rsidRPr="002D6B81">
        <w:rPr>
          <w:rFonts w:asciiTheme="majorBidi" w:hAnsiTheme="majorBidi" w:cstheme="majorBidi"/>
          <w:b/>
          <w:sz w:val="24"/>
          <w:szCs w:val="24"/>
        </w:rPr>
        <w:t xml:space="preserve">Fasting </w:t>
      </w:r>
      <w:r w:rsidR="00E85EE7" w:rsidRPr="002D6B81">
        <w:rPr>
          <w:rFonts w:asciiTheme="majorBidi" w:hAnsiTheme="majorBidi" w:cstheme="majorBidi"/>
          <w:b/>
          <w:sz w:val="24"/>
          <w:szCs w:val="24"/>
        </w:rPr>
        <w:t>value) +</w:t>
      </w:r>
      <w:r w:rsidRPr="002D6B81">
        <w:rPr>
          <w:rFonts w:asciiTheme="majorBidi" w:hAnsiTheme="majorBidi" w:cstheme="majorBidi"/>
          <w:b/>
          <w:sz w:val="24"/>
          <w:szCs w:val="24"/>
        </w:rPr>
        <w:t>0.5</w:t>
      </w:r>
      <w:r w:rsidR="00E85EE7" w:rsidRPr="002D6B81">
        <w:rPr>
          <w:rFonts w:asciiTheme="majorBidi" w:hAnsiTheme="majorBidi" w:cstheme="majorBidi"/>
          <w:b/>
          <w:sz w:val="24"/>
          <w:szCs w:val="24"/>
        </w:rPr>
        <w:t>× (</w:t>
      </w:r>
      <w:r w:rsidRPr="002D6B81">
        <w:rPr>
          <w:rFonts w:asciiTheme="majorBidi" w:hAnsiTheme="majorBidi" w:cstheme="majorBidi"/>
          <w:b/>
          <w:sz w:val="24"/>
          <w:szCs w:val="24"/>
        </w:rPr>
        <w:t xml:space="preserve">30 min. </w:t>
      </w:r>
      <w:r w:rsidR="00E85EE7" w:rsidRPr="002D6B81">
        <w:rPr>
          <w:rFonts w:asciiTheme="majorBidi" w:hAnsiTheme="majorBidi" w:cstheme="majorBidi"/>
          <w:b/>
          <w:sz w:val="24"/>
          <w:szCs w:val="24"/>
        </w:rPr>
        <w:t>value) +</w:t>
      </w:r>
      <w:r w:rsidRPr="002D6B81">
        <w:rPr>
          <w:rFonts w:asciiTheme="majorBidi" w:hAnsiTheme="majorBidi" w:cstheme="majorBidi"/>
          <w:b/>
          <w:sz w:val="24"/>
          <w:szCs w:val="24"/>
        </w:rPr>
        <w:t>0.75</w:t>
      </w:r>
      <w:r w:rsidR="00E85EE7" w:rsidRPr="002D6B81">
        <w:rPr>
          <w:rFonts w:asciiTheme="majorBidi" w:hAnsiTheme="majorBidi" w:cstheme="majorBidi"/>
          <w:b/>
          <w:sz w:val="24"/>
          <w:szCs w:val="24"/>
        </w:rPr>
        <w:t>× (</w:t>
      </w:r>
      <w:r w:rsidRPr="002D6B81">
        <w:rPr>
          <w:rFonts w:asciiTheme="majorBidi" w:hAnsiTheme="majorBidi" w:cstheme="majorBidi"/>
          <w:b/>
          <w:sz w:val="24"/>
          <w:szCs w:val="24"/>
        </w:rPr>
        <w:t xml:space="preserve">30 min. </w:t>
      </w:r>
      <w:r w:rsidR="00E85EE7" w:rsidRPr="002D6B81">
        <w:rPr>
          <w:rFonts w:asciiTheme="majorBidi" w:hAnsiTheme="majorBidi" w:cstheme="majorBidi"/>
          <w:b/>
          <w:sz w:val="24"/>
          <w:szCs w:val="24"/>
        </w:rPr>
        <w:t>value) +</w:t>
      </w:r>
      <w:r w:rsidRPr="002D6B81">
        <w:rPr>
          <w:rFonts w:asciiTheme="majorBidi" w:hAnsiTheme="majorBidi" w:cstheme="majorBidi"/>
          <w:b/>
          <w:sz w:val="24"/>
          <w:szCs w:val="24"/>
        </w:rPr>
        <w:t>0.5× (120 min. value)</w:t>
      </w:r>
    </w:p>
    <w:p w14:paraId="44CB7BF3" w14:textId="77777777" w:rsidR="002D6B81" w:rsidRPr="002D6B81" w:rsidRDefault="002D6B81" w:rsidP="00801F54">
      <w:pPr>
        <w:pStyle w:val="ListParagraph"/>
        <w:ind w:left="0"/>
        <w:jc w:val="both"/>
        <w:rPr>
          <w:rFonts w:asciiTheme="majorBidi" w:eastAsiaTheme="minorHAnsi" w:hAnsiTheme="majorBidi" w:cstheme="majorBidi"/>
          <w:sz w:val="24"/>
          <w:szCs w:val="24"/>
        </w:rPr>
      </w:pPr>
    </w:p>
    <w:p w14:paraId="4D5F0074" w14:textId="23DDC38B" w:rsidR="002D6B81" w:rsidRPr="00E85EE7" w:rsidRDefault="002D6B81" w:rsidP="00E85EE7">
      <w:pPr>
        <w:pStyle w:val="ListParagraph"/>
        <w:numPr>
          <w:ilvl w:val="1"/>
          <w:numId w:val="4"/>
        </w:numPr>
        <w:spacing w:line="360" w:lineRule="auto"/>
        <w:jc w:val="both"/>
        <w:rPr>
          <w:rFonts w:ascii="Times New Roman" w:hAnsi="Times New Roman" w:cs="Times New Roman"/>
          <w:b/>
          <w:color w:val="000000"/>
          <w:sz w:val="24"/>
          <w:szCs w:val="24"/>
        </w:rPr>
      </w:pPr>
      <w:r w:rsidRPr="00E85EE7">
        <w:rPr>
          <w:rFonts w:ascii="Times New Roman" w:hAnsi="Times New Roman" w:cs="Times New Roman"/>
          <w:b/>
          <w:color w:val="000000"/>
          <w:sz w:val="24"/>
          <w:szCs w:val="24"/>
        </w:rPr>
        <w:t xml:space="preserve">Gene expression analysis using quantitative </w:t>
      </w:r>
      <w:r w:rsidR="00E85EE7">
        <w:rPr>
          <w:rFonts w:ascii="Times New Roman" w:hAnsi="Times New Roman" w:cs="Times New Roman"/>
          <w:b/>
          <w:color w:val="000000"/>
          <w:sz w:val="24"/>
          <w:szCs w:val="24"/>
        </w:rPr>
        <w:t>real-time</w:t>
      </w:r>
      <w:r w:rsidRPr="00E85EE7">
        <w:rPr>
          <w:rFonts w:ascii="Times New Roman" w:hAnsi="Times New Roman" w:cs="Times New Roman"/>
          <w:b/>
          <w:color w:val="000000"/>
          <w:sz w:val="24"/>
          <w:szCs w:val="24"/>
        </w:rPr>
        <w:t xml:space="preserve"> reverse transcriptase-polymerase chain reaction (</w:t>
      </w:r>
      <w:proofErr w:type="spellStart"/>
      <w:r w:rsidRPr="00E85EE7">
        <w:rPr>
          <w:rFonts w:ascii="Times New Roman" w:hAnsi="Times New Roman" w:cs="Times New Roman"/>
          <w:b/>
          <w:color w:val="000000"/>
          <w:sz w:val="24"/>
          <w:szCs w:val="24"/>
        </w:rPr>
        <w:t>qRT</w:t>
      </w:r>
      <w:proofErr w:type="spellEnd"/>
      <w:r w:rsidRPr="00E85EE7">
        <w:rPr>
          <w:rFonts w:ascii="Times New Roman" w:hAnsi="Times New Roman" w:cs="Times New Roman"/>
          <w:b/>
          <w:color w:val="000000"/>
          <w:sz w:val="24"/>
          <w:szCs w:val="24"/>
        </w:rPr>
        <w:t>-PCR):</w:t>
      </w:r>
    </w:p>
    <w:p w14:paraId="50A14E69" w14:textId="4FEAC1B2" w:rsidR="002D6B81" w:rsidRPr="002D6B81" w:rsidRDefault="002D6B81" w:rsidP="00801F54">
      <w:pPr>
        <w:pStyle w:val="ListParagraph"/>
        <w:ind w:left="0" w:firstLine="720"/>
        <w:jc w:val="both"/>
        <w:rPr>
          <w:rFonts w:asciiTheme="majorBidi" w:hAnsiTheme="majorBidi" w:cstheme="majorBidi"/>
          <w:b/>
          <w:bCs/>
          <w:color w:val="000000" w:themeColor="text1"/>
          <w:sz w:val="24"/>
          <w:szCs w:val="24"/>
        </w:rPr>
      </w:pPr>
      <w:r w:rsidRPr="002D6B81">
        <w:rPr>
          <w:rFonts w:asciiTheme="majorBidi" w:eastAsiaTheme="minorHAnsi" w:hAnsiTheme="majorBidi" w:cstheme="majorBidi"/>
          <w:sz w:val="24"/>
          <w:szCs w:val="24"/>
        </w:rPr>
        <w:lastRenderedPageBreak/>
        <w:t xml:space="preserve"> The quantitative analyses of IRS1, IRS2, AMPK, mTOR, WNT3a, GSK-3β, β-catenin, and FOXO1 genes expression at mRNA level in muscle and kidney tissues, and Kim-1 and lipocalin-2 in kidney tissue were performed using </w:t>
      </w:r>
      <w:proofErr w:type="spellStart"/>
      <w:r w:rsidRPr="002D6B81">
        <w:rPr>
          <w:rFonts w:asciiTheme="majorBidi" w:eastAsiaTheme="minorHAnsi" w:hAnsiTheme="majorBidi" w:cstheme="majorBidi"/>
          <w:sz w:val="24"/>
          <w:szCs w:val="24"/>
        </w:rPr>
        <w:t>qRT</w:t>
      </w:r>
      <w:proofErr w:type="spellEnd"/>
      <w:r w:rsidRPr="002D6B81">
        <w:rPr>
          <w:rFonts w:asciiTheme="majorBidi" w:eastAsiaTheme="minorHAnsi" w:hAnsiTheme="majorBidi" w:cstheme="majorBidi"/>
          <w:sz w:val="24"/>
          <w:szCs w:val="24"/>
        </w:rPr>
        <w:t xml:space="preserve">-PCR. The total RNA was extracted from the studied tissue using RNeasy Mini Kit (Qiagen, Germany) according to the </w:t>
      </w:r>
      <w:r w:rsidR="001B1FFA">
        <w:rPr>
          <w:rFonts w:asciiTheme="majorBidi" w:eastAsiaTheme="minorHAnsi" w:hAnsiTheme="majorBidi" w:cstheme="majorBidi"/>
          <w:sz w:val="24"/>
          <w:szCs w:val="24"/>
        </w:rPr>
        <w:t>manufacturer's</w:t>
      </w:r>
      <w:r w:rsidRPr="002D6B81">
        <w:rPr>
          <w:rFonts w:asciiTheme="majorBidi" w:eastAsiaTheme="minorHAnsi" w:hAnsiTheme="majorBidi" w:cstheme="majorBidi"/>
          <w:sz w:val="24"/>
          <w:szCs w:val="24"/>
        </w:rPr>
        <w:t xml:space="preserve"> instructions. The reverse transcription of the extracted RNA was done using </w:t>
      </w:r>
      <w:proofErr w:type="spellStart"/>
      <w:r w:rsidRPr="002D6B81">
        <w:rPr>
          <w:rFonts w:asciiTheme="majorBidi" w:eastAsiaTheme="minorHAnsi" w:hAnsiTheme="majorBidi" w:cstheme="majorBidi"/>
          <w:sz w:val="24"/>
          <w:szCs w:val="24"/>
        </w:rPr>
        <w:t>MiScript</w:t>
      </w:r>
      <w:proofErr w:type="spellEnd"/>
      <w:r w:rsidRPr="002D6B81">
        <w:rPr>
          <w:rFonts w:asciiTheme="majorBidi" w:eastAsiaTheme="minorHAnsi" w:hAnsiTheme="majorBidi" w:cstheme="majorBidi"/>
          <w:sz w:val="24"/>
          <w:szCs w:val="24"/>
        </w:rPr>
        <w:t xml:space="preserve"> II RT Kit (Qiagen, Germany) according to the </w:t>
      </w:r>
      <w:r w:rsidR="001B1FFA">
        <w:rPr>
          <w:rFonts w:asciiTheme="majorBidi" w:eastAsiaTheme="minorHAnsi" w:hAnsiTheme="majorBidi" w:cstheme="majorBidi"/>
          <w:sz w:val="24"/>
          <w:szCs w:val="24"/>
        </w:rPr>
        <w:t>manufacturer’s</w:t>
      </w:r>
      <w:r w:rsidRPr="002D6B81">
        <w:rPr>
          <w:rFonts w:asciiTheme="majorBidi" w:eastAsiaTheme="minorHAnsi" w:hAnsiTheme="majorBidi" w:cstheme="majorBidi"/>
          <w:sz w:val="24"/>
          <w:szCs w:val="24"/>
        </w:rPr>
        <w:t xml:space="preserve"> instructions. The obtained cDNA </w:t>
      </w:r>
      <w:r w:rsidR="001B1FFA">
        <w:rPr>
          <w:rFonts w:asciiTheme="majorBidi" w:eastAsiaTheme="minorHAnsi" w:hAnsiTheme="majorBidi" w:cstheme="majorBidi"/>
          <w:sz w:val="24"/>
          <w:szCs w:val="24"/>
        </w:rPr>
        <w:t xml:space="preserve">was </w:t>
      </w:r>
      <w:r w:rsidRPr="002D6B81">
        <w:rPr>
          <w:rFonts w:asciiTheme="majorBidi" w:eastAsiaTheme="minorHAnsi" w:hAnsiTheme="majorBidi" w:cstheme="majorBidi"/>
          <w:sz w:val="24"/>
          <w:szCs w:val="24"/>
        </w:rPr>
        <w:t xml:space="preserve">then amplified and detected using specific primers for IRS1, IRS2, AMPK, mTOR. WNT3a, GSK-3β, β-catenin, FOXO1, Kim-1, and lipocalin-2 </w:t>
      </w:r>
      <w:r w:rsidRPr="00FC2CFF">
        <w:rPr>
          <w:rFonts w:asciiTheme="majorBidi" w:eastAsiaTheme="minorHAnsi" w:hAnsiTheme="majorBidi" w:cstheme="majorBidi"/>
          <w:b/>
          <w:bCs/>
          <w:sz w:val="24"/>
          <w:szCs w:val="24"/>
          <w:u w:val="single"/>
        </w:rPr>
        <w:t>(</w:t>
      </w:r>
      <w:r w:rsidR="00C5542C">
        <w:rPr>
          <w:rFonts w:asciiTheme="majorBidi" w:eastAsiaTheme="minorHAnsi" w:hAnsiTheme="majorBidi" w:cstheme="majorBidi"/>
          <w:b/>
          <w:bCs/>
          <w:sz w:val="24"/>
          <w:szCs w:val="24"/>
          <w:u w:val="single"/>
        </w:rPr>
        <w:t>supplementary table</w:t>
      </w:r>
      <w:r w:rsidRPr="00FC2CFF">
        <w:rPr>
          <w:rFonts w:asciiTheme="majorBidi" w:eastAsiaTheme="minorHAnsi" w:hAnsiTheme="majorBidi" w:cstheme="majorBidi"/>
          <w:b/>
          <w:bCs/>
          <w:sz w:val="24"/>
          <w:szCs w:val="24"/>
          <w:u w:val="single"/>
        </w:rPr>
        <w:t xml:space="preserve">) </w:t>
      </w:r>
      <w:r w:rsidRPr="002D6B81">
        <w:rPr>
          <w:rFonts w:asciiTheme="majorBidi" w:eastAsiaTheme="minorHAnsi" w:hAnsiTheme="majorBidi" w:cstheme="majorBidi"/>
          <w:sz w:val="24"/>
          <w:szCs w:val="24"/>
        </w:rPr>
        <w:t xml:space="preserve">by </w:t>
      </w:r>
      <w:proofErr w:type="spellStart"/>
      <w:r w:rsidRPr="002D6B81">
        <w:rPr>
          <w:rFonts w:asciiTheme="majorBidi" w:eastAsiaTheme="minorHAnsi" w:hAnsiTheme="majorBidi" w:cstheme="majorBidi"/>
          <w:sz w:val="24"/>
          <w:szCs w:val="24"/>
        </w:rPr>
        <w:t>qRT</w:t>
      </w:r>
      <w:proofErr w:type="spellEnd"/>
      <w:r w:rsidRPr="002D6B81">
        <w:rPr>
          <w:rFonts w:asciiTheme="majorBidi" w:eastAsiaTheme="minorHAnsi" w:hAnsiTheme="majorBidi" w:cstheme="majorBidi"/>
          <w:sz w:val="24"/>
          <w:szCs w:val="24"/>
        </w:rPr>
        <w:t xml:space="preserve">-PCR assay using Rotor-Gene SYBR Green PCR Kit (Qiagen, Germany). Rotor-Gene Q-Pure Detection version 2.1.0 (build 9) (Qiagen, Valencia, CA, USA) was used to determine the </w:t>
      </w:r>
      <w:r w:rsidR="001B1FFA">
        <w:rPr>
          <w:rFonts w:asciiTheme="majorBidi" w:eastAsiaTheme="minorHAnsi" w:hAnsiTheme="majorBidi" w:cstheme="majorBidi"/>
          <w:sz w:val="24"/>
          <w:szCs w:val="24"/>
        </w:rPr>
        <w:t>threshold</w:t>
      </w:r>
      <w:r w:rsidRPr="002D6B81">
        <w:rPr>
          <w:rFonts w:asciiTheme="majorBidi" w:eastAsiaTheme="minorHAnsi" w:hAnsiTheme="majorBidi" w:cstheme="majorBidi"/>
          <w:sz w:val="24"/>
          <w:szCs w:val="24"/>
        </w:rPr>
        <w:t xml:space="preserve"> cycle (Ct), which is the point where the instrument first detects fluorescence above background noise. For each gene, the expression was calculated relative to 18SrRNA as a reference gene using the formula: 2</w:t>
      </w:r>
      <w:r w:rsidR="00801F54">
        <w:rPr>
          <w:rFonts w:asciiTheme="majorBidi" w:eastAsiaTheme="minorHAnsi" w:hAnsiTheme="majorBidi" w:cstheme="majorBidi"/>
          <w:sz w:val="24"/>
          <w:szCs w:val="24"/>
        </w:rPr>
        <w:t>-ΔΔC</w:t>
      </w:r>
      <w:r w:rsidRPr="002D6B81">
        <w:rPr>
          <w:rFonts w:asciiTheme="majorBidi" w:eastAsiaTheme="minorHAnsi" w:hAnsiTheme="majorBidi" w:cstheme="majorBidi"/>
          <w:sz w:val="24"/>
          <w:szCs w:val="24"/>
        </w:rPr>
        <w:t xml:space="preserve">t. </w:t>
      </w:r>
    </w:p>
    <w:p w14:paraId="2DE915DF" w14:textId="7C1598EF" w:rsidR="001B1FFA" w:rsidRDefault="001B1FFA" w:rsidP="001B1FFA">
      <w:pPr>
        <w:jc w:val="both"/>
        <w:rPr>
          <w:rFonts w:ascii="Times New Roman" w:eastAsia="Times New Roman" w:hAnsi="Times New Roman" w:cs="Times New Roman"/>
          <w:b/>
          <w:bCs/>
          <w:color w:val="000000"/>
        </w:rPr>
      </w:pPr>
    </w:p>
    <w:p w14:paraId="5749FE0A" w14:textId="77777777" w:rsidR="00FE30E7" w:rsidRPr="002D6B81" w:rsidRDefault="00FE30E7" w:rsidP="00801F54">
      <w:pPr>
        <w:rPr>
          <w:rFonts w:asciiTheme="majorBidi" w:hAnsiTheme="majorBidi" w:cstheme="majorBidi"/>
          <w:sz w:val="24"/>
          <w:szCs w:val="24"/>
        </w:rPr>
      </w:pPr>
      <w:bookmarkStart w:id="4" w:name="_GoBack"/>
      <w:bookmarkEnd w:id="4"/>
    </w:p>
    <w:sectPr w:rsidR="00FE30E7" w:rsidRPr="002D6B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D32B0"/>
    <w:multiLevelType w:val="multilevel"/>
    <w:tmpl w:val="C38C7860"/>
    <w:lvl w:ilvl="0">
      <w:start w:val="2"/>
      <w:numFmt w:val="decimal"/>
      <w:lvlText w:val="%1"/>
      <w:lvlJc w:val="left"/>
      <w:pPr>
        <w:ind w:left="480" w:hanging="480"/>
      </w:pPr>
      <w:rPr>
        <w:rFonts w:eastAsiaTheme="minorHAnsi" w:hint="default"/>
        <w:b w:val="0"/>
        <w:color w:val="auto"/>
      </w:rPr>
    </w:lvl>
    <w:lvl w:ilvl="1">
      <w:start w:val="5"/>
      <w:numFmt w:val="decimal"/>
      <w:lvlText w:val="%1.%2"/>
      <w:lvlJc w:val="left"/>
      <w:pPr>
        <w:ind w:left="480" w:hanging="480"/>
      </w:pPr>
      <w:rPr>
        <w:rFonts w:eastAsiaTheme="minorHAnsi" w:hint="default"/>
        <w:b w:val="0"/>
        <w:color w:val="auto"/>
      </w:rPr>
    </w:lvl>
    <w:lvl w:ilvl="2">
      <w:start w:val="5"/>
      <w:numFmt w:val="decimal"/>
      <w:lvlText w:val="%1.%2.%3"/>
      <w:lvlJc w:val="left"/>
      <w:pPr>
        <w:ind w:left="720" w:hanging="720"/>
      </w:pPr>
      <w:rPr>
        <w:rFonts w:eastAsiaTheme="minorHAnsi" w:hint="default"/>
        <w:b/>
        <w:bCs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1">
    <w:nsid w:val="0D0236E6"/>
    <w:multiLevelType w:val="multilevel"/>
    <w:tmpl w:val="180CDB20"/>
    <w:lvl w:ilvl="0">
      <w:start w:val="1"/>
      <w:numFmt w:val="decimal"/>
      <w:lvlText w:val="%1."/>
      <w:lvlJc w:val="left"/>
      <w:pPr>
        <w:ind w:left="720" w:hanging="360"/>
      </w:pPr>
    </w:lvl>
    <w:lvl w:ilvl="1">
      <w:start w:val="1"/>
      <w:numFmt w:val="decimal"/>
      <w:isLgl/>
      <w:lvlText w:val="%1.%2"/>
      <w:lvlJc w:val="left"/>
      <w:pPr>
        <w:ind w:left="750" w:hanging="48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7FFE12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NDE3sbA0sDQwsTQ1MTBX0lEKTi0uzszPAykwrAUAqFrOkCwAAAA="/>
  </w:docVars>
  <w:rsids>
    <w:rsidRoot w:val="0073622F"/>
    <w:rsid w:val="001B1FFA"/>
    <w:rsid w:val="001D3C7F"/>
    <w:rsid w:val="002769BA"/>
    <w:rsid w:val="002D6B81"/>
    <w:rsid w:val="003075AA"/>
    <w:rsid w:val="00402950"/>
    <w:rsid w:val="00580DB0"/>
    <w:rsid w:val="006E1D49"/>
    <w:rsid w:val="0073622F"/>
    <w:rsid w:val="00801F54"/>
    <w:rsid w:val="00927EC4"/>
    <w:rsid w:val="00930A78"/>
    <w:rsid w:val="00A65E2F"/>
    <w:rsid w:val="00C063C8"/>
    <w:rsid w:val="00C25677"/>
    <w:rsid w:val="00C5542C"/>
    <w:rsid w:val="00D30ED4"/>
    <w:rsid w:val="00E85EE7"/>
    <w:rsid w:val="00F933D8"/>
    <w:rsid w:val="00FC2CFF"/>
    <w:rsid w:val="00FE30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59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B81"/>
    <w:pPr>
      <w:ind w:left="720"/>
      <w:contextualSpacing/>
    </w:pPr>
    <w:rPr>
      <w:rFonts w:ascii="Calibri" w:eastAsia="Calibri" w:hAnsi="Calibri" w:cs="Arial"/>
    </w:rPr>
  </w:style>
  <w:style w:type="character" w:styleId="Hyperlink">
    <w:name w:val="Hyperlink"/>
    <w:uiPriority w:val="99"/>
    <w:unhideWhenUsed/>
    <w:rsid w:val="001B1FFA"/>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B81"/>
    <w:pPr>
      <w:ind w:left="720"/>
      <w:contextualSpacing/>
    </w:pPr>
    <w:rPr>
      <w:rFonts w:ascii="Calibri" w:eastAsia="Calibri" w:hAnsi="Calibri" w:cs="Arial"/>
    </w:rPr>
  </w:style>
  <w:style w:type="character" w:styleId="Hyperlink">
    <w:name w:val="Hyperlink"/>
    <w:uiPriority w:val="99"/>
    <w:unhideWhenUsed/>
    <w:rsid w:val="001B1FF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421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Pages>
  <Words>551</Words>
  <Characters>3145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Menna</cp:lastModifiedBy>
  <cp:revision>14</cp:revision>
  <dcterms:created xsi:type="dcterms:W3CDTF">2022-04-03T08:32:00Z</dcterms:created>
  <dcterms:modified xsi:type="dcterms:W3CDTF">2023-02-13T12:56:00Z</dcterms:modified>
</cp:coreProperties>
</file>