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CFA4D" w14:textId="77777777" w:rsidR="002438F5" w:rsidRPr="00920632" w:rsidRDefault="002438F5" w:rsidP="0094056E">
      <w:pPr>
        <w:spacing w:line="360" w:lineRule="auto"/>
        <w:rPr>
          <w:rFonts w:ascii="Times New Roman" w:hAnsi="Times New Roman"/>
          <w:b/>
          <w:bCs/>
          <w:szCs w:val="24"/>
        </w:rPr>
      </w:pPr>
      <w:r w:rsidRPr="00920632">
        <w:rPr>
          <w:rFonts w:ascii="Times New Roman" w:hAnsi="Times New Roman"/>
          <w:b/>
          <w:bCs/>
          <w:szCs w:val="24"/>
        </w:rPr>
        <w:t>Supporting Information for</w:t>
      </w:r>
    </w:p>
    <w:p w14:paraId="3D9934DC" w14:textId="37F13CF5" w:rsidR="00164D76" w:rsidRPr="00920632" w:rsidRDefault="00164D76" w:rsidP="00164D76">
      <w:pPr>
        <w:pStyle w:val="BBAuthorName"/>
        <w:spacing w:after="0" w:line="360" w:lineRule="auto"/>
        <w:rPr>
          <w:rFonts w:ascii="Times New Roman" w:hAnsi="Times New Roman"/>
          <w:i w:val="0"/>
          <w:sz w:val="40"/>
          <w:szCs w:val="40"/>
        </w:rPr>
      </w:pPr>
      <w:bookmarkStart w:id="0" w:name="_Hlk113549103"/>
      <w:r w:rsidRPr="00920632">
        <w:rPr>
          <w:rFonts w:ascii="Times New Roman" w:hAnsi="Times New Roman"/>
          <w:i w:val="0"/>
          <w:sz w:val="40"/>
          <w:szCs w:val="40"/>
        </w:rPr>
        <w:t>Enhanced Apoptosis and Mitochondrial Cell Death by Paclitaxel loaded TPP-TPGS</w:t>
      </w:r>
      <w:r w:rsidRPr="00920632">
        <w:rPr>
          <w:rFonts w:ascii="Times New Roman" w:hAnsi="Times New Roman"/>
          <w:i w:val="0"/>
          <w:sz w:val="40"/>
          <w:szCs w:val="40"/>
          <w:vertAlign w:val="subscript"/>
        </w:rPr>
        <w:t>1000</w:t>
      </w:r>
      <w:r w:rsidRPr="00920632">
        <w:rPr>
          <w:rFonts w:ascii="Times New Roman" w:hAnsi="Times New Roman"/>
          <w:i w:val="0"/>
          <w:sz w:val="40"/>
          <w:szCs w:val="40"/>
        </w:rPr>
        <w:t xml:space="preserve"> Functionalized Nanoemulsion</w:t>
      </w:r>
    </w:p>
    <w:bookmarkEnd w:id="0"/>
    <w:p w14:paraId="3831650C" w14:textId="2D7CBF7A" w:rsidR="004B1C10" w:rsidRPr="00920632" w:rsidRDefault="004B1C10" w:rsidP="0094056E">
      <w:pPr>
        <w:spacing w:line="360" w:lineRule="auto"/>
        <w:rPr>
          <w:rFonts w:ascii="Times New Roman" w:hAnsi="Times New Roman"/>
          <w:b/>
          <w:bCs/>
          <w:szCs w:val="24"/>
        </w:rPr>
      </w:pPr>
    </w:p>
    <w:p w14:paraId="41AC97AA" w14:textId="14F2A8CA" w:rsidR="001A4B69" w:rsidRPr="00920632" w:rsidRDefault="001A4B69" w:rsidP="002A0792">
      <w:pPr>
        <w:pStyle w:val="TAMainText"/>
        <w:spacing w:after="240" w:line="360" w:lineRule="auto"/>
        <w:ind w:firstLine="0"/>
        <w:jc w:val="center"/>
        <w:rPr>
          <w:rFonts w:ascii="Times New Roman" w:hAnsi="Times New Roman"/>
          <w:lang w:bidi="hi-IN"/>
        </w:rPr>
      </w:pPr>
      <w:r w:rsidRPr="00920632">
        <w:rPr>
          <w:rFonts w:ascii="Times New Roman" w:hAnsi="Times New Roman"/>
          <w:b/>
          <w:szCs w:val="24"/>
        </w:rPr>
        <w:t>T</w:t>
      </w:r>
      <w:r w:rsidR="00E7014E" w:rsidRPr="00920632">
        <w:rPr>
          <w:rFonts w:ascii="Times New Roman" w:hAnsi="Times New Roman"/>
          <w:b/>
          <w:szCs w:val="24"/>
        </w:rPr>
        <w:t xml:space="preserve">able </w:t>
      </w:r>
      <w:r w:rsidRPr="00920632">
        <w:rPr>
          <w:rFonts w:ascii="Times New Roman" w:hAnsi="Times New Roman"/>
          <w:b/>
          <w:szCs w:val="24"/>
        </w:rPr>
        <w:t>S1</w:t>
      </w:r>
    </w:p>
    <w:p w14:paraId="4C6BDBAF" w14:textId="77777777" w:rsidR="001A4B69" w:rsidRPr="00920632" w:rsidRDefault="001A4B69" w:rsidP="001A4B69">
      <w:pPr>
        <w:pStyle w:val="TAMainText"/>
        <w:spacing w:after="240" w:line="360" w:lineRule="auto"/>
        <w:ind w:firstLine="0"/>
        <w:rPr>
          <w:rFonts w:ascii="Times New Roman" w:hAnsi="Times New Roman"/>
          <w:lang w:bidi="hi-IN"/>
        </w:rPr>
      </w:pPr>
    </w:p>
    <w:p w14:paraId="4A909F35" w14:textId="7CCBF45D" w:rsidR="00BC5CCB" w:rsidRPr="00920632" w:rsidRDefault="007656D7" w:rsidP="0094056E">
      <w:pPr>
        <w:spacing w:line="360" w:lineRule="auto"/>
        <w:rPr>
          <w:rFonts w:ascii="Times New Roman" w:hAnsi="Times New Roman"/>
          <w:b/>
          <w:szCs w:val="24"/>
          <w:vertAlign w:val="subscript"/>
        </w:rPr>
      </w:pPr>
      <w:r w:rsidRPr="00920632">
        <w:rPr>
          <w:rFonts w:ascii="Times New Roman" w:hAnsi="Times New Roman"/>
          <w:b/>
          <w:szCs w:val="24"/>
        </w:rPr>
        <w:t>Synthesis and characterization of cationic TPP-TPGS</w:t>
      </w:r>
      <w:r w:rsidRPr="00920632">
        <w:rPr>
          <w:rFonts w:ascii="Times New Roman" w:hAnsi="Times New Roman"/>
          <w:b/>
          <w:szCs w:val="24"/>
          <w:vertAlign w:val="subscript"/>
        </w:rPr>
        <w:t>1000</w:t>
      </w:r>
    </w:p>
    <w:p w14:paraId="4E76C526" w14:textId="7BA4C04D" w:rsidR="00633836" w:rsidRPr="00920632" w:rsidRDefault="00C257A8" w:rsidP="0094056E">
      <w:pPr>
        <w:spacing w:line="360" w:lineRule="auto"/>
        <w:rPr>
          <w:rFonts w:ascii="Times New Roman" w:hAnsi="Times New Roman"/>
          <w:bCs/>
          <w:szCs w:val="24"/>
        </w:rPr>
      </w:pPr>
      <w:r w:rsidRPr="00920632">
        <w:rPr>
          <w:rFonts w:ascii="Times New Roman" w:hAnsi="Times New Roman"/>
          <w:lang w:val="en-IN"/>
        </w:rPr>
        <w:t>TPP-TPGS</w:t>
      </w:r>
      <w:r w:rsidRPr="00920632">
        <w:rPr>
          <w:rFonts w:ascii="Times New Roman" w:hAnsi="Times New Roman"/>
          <w:vertAlign w:val="subscript"/>
          <w:lang w:val="en-IN"/>
        </w:rPr>
        <w:t>1000</w:t>
      </w:r>
      <w:r w:rsidRPr="00920632">
        <w:rPr>
          <w:rFonts w:ascii="Times New Roman" w:hAnsi="Times New Roman"/>
          <w:b/>
          <w:bCs/>
          <w:lang w:val="en-IN"/>
        </w:rPr>
        <w:t xml:space="preserve"> </w:t>
      </w:r>
      <w:r w:rsidRPr="00920632">
        <w:rPr>
          <w:rFonts w:ascii="Times New Roman" w:hAnsi="Times New Roman"/>
        </w:rPr>
        <w:t xml:space="preserve">was synthesized by using DCC/DMAP chemical reaction. </w:t>
      </w:r>
      <w:r w:rsidR="00633836" w:rsidRPr="00920632">
        <w:rPr>
          <w:rFonts w:ascii="Times New Roman" w:hAnsi="Times New Roman"/>
        </w:rPr>
        <w:t>Lyophilized product was characterized and confirmed by different spectroscopies such as proton nuclear magnetic resonance spectroscopy (</w:t>
      </w:r>
      <w:r w:rsidR="00633836" w:rsidRPr="00920632">
        <w:rPr>
          <w:rFonts w:ascii="Times New Roman" w:hAnsi="Times New Roman"/>
          <w:vertAlign w:val="superscript"/>
        </w:rPr>
        <w:t>1</w:t>
      </w:r>
      <w:r w:rsidR="00633836" w:rsidRPr="00920632">
        <w:rPr>
          <w:rFonts w:ascii="Times New Roman" w:hAnsi="Times New Roman"/>
        </w:rPr>
        <w:t xml:space="preserve">H NMR 400 MHz, Bruker AVANCE III 400), FTIR spectroscopy (Perkin Elmer spectrum version 10.03.06), and matrix-assisted laser desorption ionization time-of-flight mass spectrometry </w:t>
      </w:r>
      <w:r w:rsidR="00633836" w:rsidRPr="00920632">
        <w:rPr>
          <w:rFonts w:ascii="Times New Roman" w:hAnsi="Times New Roman"/>
          <w:bCs/>
        </w:rPr>
        <w:t>(MALDI-TOF-MS)</w:t>
      </w:r>
      <w:r w:rsidR="00176395" w:rsidRPr="00920632">
        <w:rPr>
          <w:rFonts w:ascii="Times New Roman" w:hAnsi="Times New Roman"/>
          <w:bCs/>
        </w:rPr>
        <w:fldChar w:fldCharType="begin" w:fldLock="1"/>
      </w:r>
      <w:r w:rsidR="004736A9" w:rsidRPr="00920632">
        <w:rPr>
          <w:rFonts w:ascii="Times New Roman" w:hAnsi="Times New Roman"/>
          <w:bCs/>
        </w:rPr>
        <w:instrText>ADDIN CSL_CITATION {"citationItems":[{"id":"ITEM-1","itemData":{"DOI":"10.1016/j.biomaterials.2013.01.078","ISSN":"01429612","PMID":"23422592","abstract":"Lung cancer is the leading cause of cancer-related death in humans and the multidrug resistance (MDR) is the major obstacle to successful chemotherapy of lung cancer. In this study, a d-α-tocopheryl polyethylene glycol 1000 succinate-triphenylphosphine conjugate (TPGS1000-TPP) was synthesized as the mitochondrial targeting molecule, and was incorporated onto the surface of paclitaxel liposomes to treat the drug-resistant lung cancer. Evaluations were performed on the human lung cancer A549 cells, the drug-resistant lung cancer A549/cDDP cells, and the drug-resistant lung cancer A549/cDDP cells xenografted nude mice. The yield of TPGS1000-TPP conjugate synthesized was about 50% and the particle size of targeting paclitaxel liposomes developed was approximately 80 nm. In comparison with taxol and regular paclitaxel liposomes, the targeting paclitaxel liposomes exhibited the strongest anticancer efficacy in vitro and in the drug-resistant A549/cDDP xenografted tumor model. The targeting paclitaxel liposomes could significantly enhance the cellular uptake, be selectively accumulated into the mitochondria, and cause the release of cytochrome C. This targeting delivery of drug initiated a cascade of caspase 9 and 3 reactions, activated the pro-apoptotic Bax and Bid proteins and suppressed the anti-apoptotic Bcl-2 protein, thereby enhancing the apoptosis by acting on the mitochondrial signaling pathways. In conclusion, the targeting paclitaxel liposomes have the potential to treat drug-resistant lung cancer. © 2013 Elsevier Ltd.","author":[{"dropping-particle":"","family":"Zhou","given":"Jia","non-dropping-particle":"","parse-names":false,"suffix":""},{"dropping-particle":"","family":"Zhao","given":"Wei Yu","non-dropping-particle":"","parse-names":false,"suffix":""},{"dropping-particle":"","family":"Ma","given":"Xu","non-dropping-particle":"","parse-names":false,"suffix":""},{"dropping-particle":"","family":"Ju","given":"Rui Jun","non-dropping-particle":"","parse-names":false,"suffix":""},{"dropping-particle":"","family":"Li","given":"Xiu Ying","non-dropping-particle":"","parse-names":false,"suffix":""},{"dropping-particle":"","family":"Li","given":"Nan","non-dropping-particle":"","parse-names":false,"suffix":""},{"dropping-particle":"","family":"Sun","given":"Meng Ge","non-dropping-particle":"","parse-names":false,"suffix":""},{"dropping-particle":"","family":"Shi","given":"Ji Feng","non-dropping-particle":"","parse-names":false,"suffix":""},{"dropping-particle":"","family":"Zhang","given":"Cheng Xiang","non-dropping-particle":"","parse-names":false,"suffix":""},{"dropping-particle":"","family":"Lu","given":"Wan Liang","non-dropping-particle":"","parse-names":false,"suffix":""}],"container-title":"Biomaterials","id":"ITEM-1","issue":"14","issued":{"date-parts":[["2013","5"]]},"page":"3626-3638","title":"The anticancer efficacy of paclitaxel liposomes modified with mitochondrial targeting conjugate in resistant lung cancer","type":"article-journal","volume":"34"},"uris":["http://www.mendeley.com/documents/?uuid=796fb631-364d-32c5-936e-fe9d7c7d8498"]},{"id":"ITEM-2","itemData":{"DOI":"10.1021/acsami.7b07219","ISSN":"19448252","abstract":"Multidrug resistance (MDR) has been recognized as a major obstacle to successful chemotherapy for cancer in the clinic. In recent years, more and more nanoscaled drug delivery systems (DDS) are constructed to modulate drug efflux protein (P-gp) and deliver chemotherapeutic drugs for overcoming MDR. Among them, d-α-tocopheryl polyethylene glycol succinate (TPGS) has been widely used as a drug carrier due to its capability of inhibiting overexpression of P-gp and good amphiphilicity favorable for improving permeation and long-circulation property of DDS. In the present work, a novel kind of mitochondria-targeting nanomicelles-based DDS is developed to integrate chemotherapeutics delivery with fluorescence imaging functionalities on a comprehensive nanoplatform. The mitochondria-targeting nanomicelles are prepared by self-assembly of triphenylphosphine (TPP)-modified TPGS and fluorescent carbon quantum dots (CQDs) in an n-hexane/H2O mixed solution, named CQDs-TPGS-TPP. Notably, although the drug loading cont...","author":[{"dropping-particle":"","family":"Zhang","given":"Ye","non-dropping-particle":"","parse-names":false,"suffix":""},{"dropping-particle":"","family":"Zhang","given":"Congjun","non-dropping-particle":"","parse-names":false,"suffix":""},{"dropping-particle":"","family":"Chen","given":"Jing","non-dropping-particle":"","parse-names":false,"suffix":""},{"dropping-particle":"","family":"Liu","given":"Li","non-dropping-particle":"","parse-names":false,"suffix":""},{"dropping-particle":"","family":"Hu","given":"Mengyue","non-dropping-particle":"","parse-names":false,"suffix":""},{"dropping-particle":"","family":"Li","given":"Jun","non-dropping-particle":"","parse-names":false,"suffix":""},{"dropping-particle":"","family":"Bi","given":"Hong","non-dropping-particle":"","parse-names":false,"suffix":""}],"container-title":"ACS Applied Materials and Interfaces","id":"ITEM-2","issue":"30","issued":{"date-parts":[["2017"]]},"page":"25152-25163","title":"Trackable Mitochondria-Targeting Nanomicellar Loaded with Doxorubicin for Overcoming Drug Resistance","type":"article-journal","volume":"9"},"uris":["http://www.mendeley.com/documents/?uuid=3dfa3523-287b-4643-8226-c0120af560cd"]}],"mendeley":{"formattedCitation":"&lt;span style=\"baseline\"&gt;[1,2]&lt;/span&gt;","plainTextFormattedCitation":"[1,2]","previouslyFormattedCitation":"&lt;span style=\"baseline\"&gt;[1,2]&lt;/span&gt;"},"properties":{"noteIndex":0},"schema":"https://github.com/citation-style-language/schema/raw/master/csl-citation.json"}</w:instrText>
      </w:r>
      <w:r w:rsidR="00176395" w:rsidRPr="00920632">
        <w:rPr>
          <w:rFonts w:ascii="Times New Roman" w:hAnsi="Times New Roman"/>
          <w:bCs/>
        </w:rPr>
        <w:fldChar w:fldCharType="separate"/>
      </w:r>
      <w:r w:rsidR="004736A9" w:rsidRPr="00920632">
        <w:rPr>
          <w:rFonts w:ascii="Times New Roman" w:hAnsi="Times New Roman"/>
          <w:bCs/>
          <w:noProof/>
        </w:rPr>
        <w:t>[1,2]</w:t>
      </w:r>
      <w:r w:rsidR="00176395" w:rsidRPr="00920632">
        <w:rPr>
          <w:rFonts w:ascii="Times New Roman" w:hAnsi="Times New Roman"/>
          <w:bCs/>
        </w:rPr>
        <w:fldChar w:fldCharType="end"/>
      </w:r>
      <w:r w:rsidR="00DB6547" w:rsidRPr="00920632">
        <w:rPr>
          <w:rFonts w:ascii="Times New Roman" w:hAnsi="Times New Roman"/>
          <w:bCs/>
        </w:rPr>
        <w:t>.</w:t>
      </w:r>
    </w:p>
    <w:p w14:paraId="520606B7" w14:textId="7FACFCBD" w:rsidR="007656D7" w:rsidRPr="00920632" w:rsidRDefault="007656D7" w:rsidP="0094056E">
      <w:pPr>
        <w:tabs>
          <w:tab w:val="left" w:pos="990"/>
          <w:tab w:val="left" w:pos="1080"/>
        </w:tabs>
        <w:spacing w:after="0" w:line="360" w:lineRule="auto"/>
        <w:jc w:val="center"/>
        <w:rPr>
          <w:rFonts w:ascii="Times New Roman" w:hAnsi="Times New Roman"/>
          <w:b/>
          <w:bCs/>
          <w:szCs w:val="24"/>
        </w:rPr>
      </w:pPr>
      <w:bookmarkStart w:id="1" w:name="_Hlk116570312"/>
    </w:p>
    <w:p w14:paraId="56AE8FBC" w14:textId="328A420E" w:rsidR="00E7014E" w:rsidRPr="00920632" w:rsidRDefault="007C7DC8" w:rsidP="009F5A95">
      <w:pPr>
        <w:pStyle w:val="VAFigureCaption"/>
        <w:spacing w:line="360" w:lineRule="auto"/>
        <w:jc w:val="center"/>
        <w:rPr>
          <w:rFonts w:ascii="Times New Roman" w:hAnsi="Times New Roman"/>
        </w:rPr>
      </w:pPr>
      <w:bookmarkStart w:id="2" w:name="_Hlk116570586"/>
      <w:r w:rsidRPr="00920632">
        <w:rPr>
          <w:rFonts w:ascii="Times New Roman" w:hAnsi="Times New Roman"/>
          <w:b/>
          <w:bCs/>
        </w:rPr>
        <w:t>Figure</w:t>
      </w:r>
      <w:r w:rsidR="007656D7" w:rsidRPr="00920632">
        <w:rPr>
          <w:rFonts w:ascii="Times New Roman" w:hAnsi="Times New Roman"/>
          <w:b/>
          <w:bCs/>
        </w:rPr>
        <w:t xml:space="preserve"> </w:t>
      </w:r>
      <w:r w:rsidR="00B5520D" w:rsidRPr="00920632">
        <w:rPr>
          <w:rFonts w:ascii="Times New Roman" w:hAnsi="Times New Roman"/>
          <w:b/>
          <w:bCs/>
        </w:rPr>
        <w:t>S</w:t>
      </w:r>
      <w:r w:rsidR="00E7014E" w:rsidRPr="00920632">
        <w:rPr>
          <w:rFonts w:ascii="Times New Roman" w:hAnsi="Times New Roman"/>
          <w:b/>
          <w:bCs/>
        </w:rPr>
        <w:t>1</w:t>
      </w:r>
      <w:bookmarkEnd w:id="2"/>
    </w:p>
    <w:p w14:paraId="3A4F4F46" w14:textId="77777777" w:rsidR="00E92251" w:rsidRPr="00920632" w:rsidRDefault="00E92251" w:rsidP="00E92251">
      <w:pPr>
        <w:autoSpaceDE w:val="0"/>
        <w:autoSpaceDN w:val="0"/>
        <w:adjustRightInd w:val="0"/>
        <w:spacing w:line="360" w:lineRule="auto"/>
        <w:rPr>
          <w:rFonts w:ascii="Times New Roman" w:hAnsi="Times New Roman"/>
          <w:b/>
          <w:szCs w:val="24"/>
        </w:rPr>
      </w:pPr>
      <w:r w:rsidRPr="00920632">
        <w:rPr>
          <w:rFonts w:ascii="Times New Roman" w:hAnsi="Times New Roman"/>
          <w:b/>
          <w:szCs w:val="24"/>
        </w:rPr>
        <w:t>Determination of critical micellar concentration using UV hydrophobic probes</w:t>
      </w:r>
    </w:p>
    <w:p w14:paraId="0FA10DF2" w14:textId="2BDD9875" w:rsidR="00E92251" w:rsidRPr="00920632" w:rsidRDefault="00E92251" w:rsidP="00E92251">
      <w:pPr>
        <w:pStyle w:val="TAMainText"/>
        <w:spacing w:line="360" w:lineRule="auto"/>
        <w:ind w:firstLine="0"/>
      </w:pPr>
      <w:r w:rsidRPr="00920632">
        <w:t>The I</w:t>
      </w:r>
      <w:r w:rsidRPr="00920632">
        <w:rPr>
          <w:vertAlign w:val="subscript"/>
        </w:rPr>
        <w:t>2</w:t>
      </w:r>
      <w:r w:rsidRPr="00920632">
        <w:t xml:space="preserve">-UV-spectroscopy method was used to analyze the </w:t>
      </w:r>
      <w:r w:rsidRPr="00920632">
        <w:rPr>
          <w:rFonts w:ascii="Times New Roman" w:hAnsi="Times New Roman"/>
          <w:bCs/>
          <w:szCs w:val="24"/>
        </w:rPr>
        <w:t>critical micellar concentration</w:t>
      </w:r>
      <w:r w:rsidRPr="00920632">
        <w:rPr>
          <w:bCs/>
        </w:rPr>
        <w:t xml:space="preserve"> </w:t>
      </w:r>
      <w:r w:rsidRPr="00920632">
        <w:t>of TPGS and TPP-TPGS</w:t>
      </w:r>
      <w:r w:rsidRPr="00920632">
        <w:rPr>
          <w:vertAlign w:val="subscript"/>
        </w:rPr>
        <w:t>1000</w:t>
      </w:r>
      <w:r w:rsidRPr="00920632">
        <w:t>. The absorption intensity was plotted against the logarithm of the polymer mass concentration, and the cross-point of these two lines can be calculated to know the CMC value of synthesized TPP-TPGS</w:t>
      </w:r>
      <w:r w:rsidRPr="00920632">
        <w:rPr>
          <w:vertAlign w:val="subscript"/>
        </w:rPr>
        <w:t>1000.</w:t>
      </w:r>
      <w:r w:rsidRPr="00920632">
        <w:t xml:space="preserve"> </w:t>
      </w:r>
      <w:r w:rsidRPr="00920632">
        <w:fldChar w:fldCharType="begin" w:fldLock="1"/>
      </w:r>
      <w:r w:rsidR="007F7849">
        <w:instrText>ADDIN CSL_CITATION {"citationItems":[{"id":"ITEM-1","itemData":{"DOI":"10.1039/c6ra12714b","ISSN":"20462069","abstract":"&lt;p&gt; Plumbagin (PLB) loaded &lt;sc&gt;d&lt;/sc&gt; -α-tocopheryl polyethylene glycol 1000 succinate (TPGS) with folic acid (FOL) conjugated nanomicelles achieved controlled and targeted delivery with synergized anticancer potency and reduced PLB toxicity. &lt;/p&gt;","author":[{"dropping-particle":"","family":"Pawar","given":"Atmaram","non-dropping-particle":"","parse-names":false,"suffix":""},{"dropping-particle":"","family":"Patel","given":"Rabiya","non-dropping-particle":"","parse-names":false,"suffix":""},{"dropping-particle":"","family":"Arulmozhi","given":"S.","non-dropping-particle":"","parse-names":false,"suffix":""},{"dropping-particle":"","family":"Bothiraja","given":"C.","non-dropping-particle":"","parse-names":false,"suffix":""}],"container-title":"RSC Advances","id":"ITEM-1","issue":"81","issued":{"date-parts":[["2016"]]},"page":"78106-78121","publisher":"Royal Society of Chemistry","title":"D-α-Tocopheryl polyethylene glycol 1000 succinate conjugated folic acid nanomicelles: Towards enhanced bioavailability, stability, safety, prolonged drug release and synergized anticancer effect of plumbagin","type":"article-journal","volume":"6"},"uris":["http://www.mendeley.com/documents/?uuid=72e14669-15e1-4880-a06e-8ec1e310c6ab"]},{"id":"ITEM-2","itemData":{"DOI":"10.1016/j.ijpharm.2009.04.030","ISSN":"03785173","PMID":"19409463","abstract":"The objective of this study was to optimize and characterize a novel polymeric mixed micelle composed of Pluronic P123 and F127 loaded with paclitaxel (PTX). A Doehlert matrix design was utilized to investigate the effect of four variables, namely P123 mass fraction, amount of water, feeding of PTX and hydration temperature on the responses including drug-loading coefficient (DL %), encapsulation ratio (ER %) and the percentage of PTX precipitated from the drug-loaded mixed micelles after 48 h at 37 (PTX precipitated %) for improvement of drug solubilization efficiency and micelle stability. PTX-loaded P123/F127 mixed micelles were prepared by thin-film hydration method. The optimized formulation showed a particle size of about 25 nm with ER % &gt; 90%, and a sustained release behavior compared to Taxol. Micelle formation was confirmed by NMR spectroscopy. The mixed micelles had a low CMC of 0.0059% in water. In addition, micelle stability studies implied that introduction of Pluronic F127 (33 wt%) into P123 micelle system significantly increased the stability of PTX-loaded micelles. More importantly, in vitro cytotoxicity was assessed using human lung adenocarcinoma cell lines SPC-A1 and A-549 and was compared to Taxol and the free drug. The cell viability assay against A-549 cells exhibited the 50% inhibition concentration (IC50) of PTX-loaded P123/F127 mixed micelles (0.1 μg/ml) was much lower than those of Taxol injection (0.4 μg/ml) and the free PTX (1.7 μg/ml). Therefore, PTX-loaded P123/F127 mixed micelles may be considered as an effective anticancer drug delivery system for cancer chemotherapy. © 2009 Elsevier B.V. All rights reserved.","author":[{"dropping-particle":"","family":"Wei","given":"Zhang","non-dropping-particle":"","parse-names":false,"suffix":""},{"dropping-particle":"","family":"Hao","given":"Junguo","non-dropping-particle":"","parse-names":false,"suffix":""},{"dropping-particle":"","family":"Yuan","given":"Shi","non-dropping-particle":"","parse-names":false,"suffix":""},{"dropping-particle":"","family":"Li","given":"Yajuan","non-dropping-particle":"","parse-names":false,"suffix":""},{"dropping-particle":"","family":"Juan","given":"Wu","non-dropping-particle":"","parse-names":false,"suffix":""},{"dropping-particle":"","family":"Sha","given":"Xianyi","non-dropping-particle":"","parse-names":false,"suffix":""},{"dropping-particle":"","family":"Fang","given":"Xiaoling","non-dropping-particle":"","parse-names":false,"suffix":""}],"container-title":"International Journal of Pharmaceutics","id":"ITEM-2","issue":"1-2","issued":{"date-parts":[["2009"]]},"page":"176-185","title":"Paclitaxel-loaded Pluronic P123/F127 mixed polymeric micelles: Formulation, optimization and in vitro characterization","type":"article-journal","volume":"376"},"uris":["http://www.mendeley.com/documents/?uuid=a2e8d5a8-b189-4f0b-9be7-2600151a646c"]},{"id":"ITEM-3","itemData":{"DOI":"10.1021/la962033r","ISSN":"07437463","abstract":"Iodine incorporation UV spectroscopy provides evidence that (PEOA-PPOBPEOA) block copolymers (Pluronics) of related composition will aggregate either cooperatively or independently. Studying binary mixtures of Pluronics, selected from a series of Pluronics containing the same ratio of PEO:PPO (70% PEO, 30% PPO), allowed the effects of varying polymeric mass on the type of interaction observed to be investigated. Preliminary results indicate that the mass ratio of the PPO moieties determines the type of interaction observed.","author":[{"dropping-particle":"","family":"Gaisford","given":"Simon","non-dropping-particle":"","parse-names":false,"suffix":""},{"dropping-particle":"","family":"Beezer","given":"Anthony E","non-dropping-particle":"","parse-names":false,"suffix":""},{"dropping-particle":"","family":"Mitchell","given":"John C","non-dropping-particle":"","parse-names":false,"suffix":""}],"container-title":"Langmuir","id":"ITEM-3","issue":"10","issued":{"date-parts":[["1997"]]},"page":"2606-2607","title":"Diode-array UV spectrometric evidence for cooperative interactions in binary mixtures of pluronics F77, F87, and F127","type":"article-journal","volume":"13"},"uris":["http://www.mendeley.com/documents/?uuid=28566b8e-3314-45b8-9a18-8bbaee0217fc"]}],"mendeley":{"formattedCitation":"&lt;span style=\"baseline\"&gt;[3–5]&lt;/span&gt;","plainTextFormattedCitation":"[3–5]","previouslyFormattedCitation":"&lt;span style=\"baseline\"&gt;[3–5]&lt;/span&gt;"},"properties":{"noteIndex":0},"schema":"https://github.com/citation-style-language/schema/raw/master/csl-citation.json"}</w:instrText>
      </w:r>
      <w:r w:rsidRPr="00920632">
        <w:fldChar w:fldCharType="separate"/>
      </w:r>
      <w:r w:rsidR="00743997" w:rsidRPr="00920632">
        <w:rPr>
          <w:noProof/>
        </w:rPr>
        <w:t>[3–5]</w:t>
      </w:r>
      <w:r w:rsidRPr="00920632">
        <w:fldChar w:fldCharType="end"/>
      </w:r>
    </w:p>
    <w:p w14:paraId="30A0A467" w14:textId="4FDB4E96" w:rsidR="00E92251" w:rsidRPr="00920632" w:rsidRDefault="00E92251" w:rsidP="00E92251">
      <w:pPr>
        <w:spacing w:line="360" w:lineRule="auto"/>
        <w:jc w:val="center"/>
        <w:rPr>
          <w:b/>
          <w:bCs/>
        </w:rPr>
      </w:pPr>
    </w:p>
    <w:p w14:paraId="65052F2D" w14:textId="5B57BC2F" w:rsidR="00E340F0" w:rsidRPr="00920632" w:rsidRDefault="00E92251" w:rsidP="00114258">
      <w:pPr>
        <w:pStyle w:val="VAFigureCaption"/>
        <w:spacing w:line="360" w:lineRule="auto"/>
        <w:jc w:val="center"/>
      </w:pPr>
      <w:r w:rsidRPr="00920632">
        <w:rPr>
          <w:b/>
        </w:rPr>
        <w:t>Figure S2</w:t>
      </w:r>
    </w:p>
    <w:p w14:paraId="4911EA7A" w14:textId="1E48AC42" w:rsidR="00E340F0" w:rsidRPr="00920632" w:rsidRDefault="00E340F0" w:rsidP="00E340F0">
      <w:pPr>
        <w:pStyle w:val="VAFigureCaption"/>
        <w:spacing w:line="360" w:lineRule="auto"/>
        <w:rPr>
          <w:vertAlign w:val="subscript"/>
        </w:rPr>
      </w:pPr>
      <w:r w:rsidRPr="00920632">
        <w:rPr>
          <w:rFonts w:ascii="Times New Roman" w:hAnsi="Times New Roman"/>
          <w:b/>
          <w:bCs/>
          <w:szCs w:val="24"/>
        </w:rPr>
        <w:t>Determination of rheological property of nanoemulsion</w:t>
      </w:r>
    </w:p>
    <w:p w14:paraId="4F5D3099" w14:textId="2C919EB1" w:rsidR="00E340F0" w:rsidRPr="00920632" w:rsidRDefault="00E340F0" w:rsidP="00E340F0">
      <w:pPr>
        <w:autoSpaceDE w:val="0"/>
        <w:autoSpaceDN w:val="0"/>
        <w:adjustRightInd w:val="0"/>
        <w:spacing w:line="360" w:lineRule="auto"/>
        <w:rPr>
          <w:rFonts w:ascii="Times New Roman" w:hAnsi="Times New Roman"/>
          <w:b/>
          <w:bCs/>
          <w:szCs w:val="24"/>
        </w:rPr>
      </w:pPr>
      <w:r w:rsidRPr="00920632">
        <w:rPr>
          <w:lang w:bidi="hi-IN"/>
        </w:rPr>
        <w:t xml:space="preserve">The </w:t>
      </w:r>
      <w:bookmarkStart w:id="3" w:name="_Hlk116582475"/>
      <w:r w:rsidRPr="00920632">
        <w:rPr>
          <w:lang w:bidi="hi-IN"/>
        </w:rPr>
        <w:t xml:space="preserve">rheological properties </w:t>
      </w:r>
      <w:bookmarkEnd w:id="3"/>
      <w:r w:rsidRPr="00920632">
        <w:rPr>
          <w:lang w:bidi="hi-IN"/>
        </w:rPr>
        <w:t>of developed nanoformulation</w:t>
      </w:r>
      <w:r w:rsidR="008A1201" w:rsidRPr="00920632">
        <w:rPr>
          <w:lang w:bidi="hi-IN"/>
        </w:rPr>
        <w:t xml:space="preserve"> at different temperatures</w:t>
      </w:r>
      <w:r w:rsidRPr="00920632">
        <w:rPr>
          <w:lang w:bidi="hi-IN"/>
        </w:rPr>
        <w:t xml:space="preserve"> </w:t>
      </w:r>
      <w:r w:rsidRPr="00920632">
        <w:rPr>
          <w:lang w:bidi="hi-IN"/>
        </w:rPr>
        <w:fldChar w:fldCharType="begin" w:fldLock="1"/>
      </w:r>
      <w:r w:rsidR="007F7849">
        <w:rPr>
          <w:lang w:bidi="hi-IN"/>
        </w:rPr>
        <w:instrText>ADDIN CSL_CITATION {"citationItems":[{"id":"ITEM-1","itemData":{"DOI":"10.1016/j.ejps.2012.12.011","ISBN":"1879-0720 (Electronic)\\n0928-0987 (Linking)","ISSN":"18790720","PMID":"23262057","abstract":"Tocotrienol rich fraction (TRF) of vitamin E was previously shown to have anticancer activity against murine tumor cells in vitro. TRF was also shown to potentiate the anticancer activity of statins. The objectives of this study were therefore (a) to prepare and characterize stable parenteral lipid nanoemulsions as a novel platform for the concurrent delivery of TRF and simvastatin for subsequent use in combination chemotherapy, and (b) to evaluate the antiproliferative activity of the nanoemulsions against MCF-7 and MDA-MB-231 human mammary tumor cells. Nanoemulsions were prepared by the high-pressure homogenization technique using a viscous 70/30 blend of TRF and medium chain triglycerides as the oil phase in which simvastatin was dissolved at 9% w/w loading. Nanoemulsion droplets were about 200 nm in size and had surface potential of 45 mV. In a dissolution study, approximately 20% of simvastatin was released in sink conditions after 24 h. The stability of the nanoemulsions was monitored over 6 months of storage. No oxidation or degradation products were detected and no loss in simvastatin loading was observed during this period. The antiproliferative activity of the nanoemulsions was also retained after storage. The IC50 of the TRF nanoemulsions against MCF-7 and MDA-MB-231 was 14 and 7 lM, respectively, which decreased to 10 lM and 4.8 lM when simvastatin was added to the nanoemulsions. Nanoemulsions prepared with tocopherol had no anticancer activity and were used as negative control. This study demonstrated that parenteral lipid nanoemulsions are viable delivery platform for potential use in cancer chemotherapy. © 2012 Elsevier B.V. All rights reserved.","author":[{"dropping-particle":"","family":"Alayoubi","given":"Alaadin Y.","non-dropping-particle":"","parse-names":false,"suffix":""},{"dropping-particle":"","family":"Anderson","given":"John F.","non-dropping-particle":"","parse-names":false,"suffix":""},{"dropping-particle":"","family":"Satyanarayanajois","given":"Seetharama D.","non-dropping-particle":"","parse-names":false,"suffix":""},{"dropping-particle":"","family":"Sylvester","given":"Paul W.","non-dropping-particle":"","parse-names":false,"suffix":""},{"dropping-particle":"","family":"Nazzal","given":"Sami","non-dropping-particle":"","parse-names":false,"suffix":""}],"container-title":"European Journal of Pharmaceutical Sciences","id":"ITEM-1","issue":"3","issued":{"date-parts":[["2013"]]},"page":"385-392","title":"Concurrent delivery of tocotrienols and simvastatin by lipid nanoemulsions potentiates their antitumor activity against human mammary adenocarcenoma cells","type":"article-journal","volume":"48"},"uris":["http://www.mendeley.com/documents/?uuid=a8737610-0586-4275-b97e-08f25129dfd6"]},{"id":"ITEM-2","itemData":{"DOI":"10.1016/j.foodhyd.2016.12.002","ISSN":"0268005X","abstract":"Flax seed oil (FSO) is rich in α-linolenic acid (ALA) and its application as a functional ingredient in oil-in-water systems is limited due to its high vulnerability towards oxidation. To overcome this, flax seed oil nanoemulsions were formulated using eugenol (EUG) as a natural antioxidant and two modified starches (Purity Gum Ultra and Purity Gum 2000) as emulsifier. The effect of eugenol addition and emulsifier type on the size, charge, rheological properties and oxidative stability of nanoemulsions stored under different temperatures (4, 25 and 40 °C) for 4 weeks was investigated. Nanoemulsions containing eugenol, stabilized by Purity Gum Ultra, showed better physical and oxidative stability during storage as compared to Purity Gum 2000 stabilized emulsions. Results revealed higher % retention of ALA (66.34%) and EUG (63.20%) in Purity Gum Ultra stabilized emulsions containing FSO + EUG stored for 4 weeks at 40 °C as compared to Purity Gum 2000 stabilized emulsions containing FSO + EUG. This was attributed to the role of eugenol as antioxidant as well as the formation of a thick protective layer at interface by Purity Gum Ultra due to its higher molecular weight and density.","author":[{"dropping-particle":"","family":"Sharif","given":"Hafiz Rizwan","non-dropping-particle":"","parse-names":false,"suffix":""},{"dropping-particle":"","family":"Williams","given":"Peter A.","non-dropping-particle":"","parse-names":false,"suffix":""},{"dropping-particle":"","family":"Sharif","given":"Mian Kamran","non-dropping-particle":"","parse-names":false,"suffix":""},{"dropping-particle":"","family":"Khan","given":"Muhammad Aslam","non-dropping-particle":"","parse-names":false,"suffix":""},{"dropping-particle":"","family":"Majeed","given":"Hamid","non-dropping-particle":"","parse-names":false,"suffix":""},{"dropping-particle":"","family":"Safdar","given":"Waseem","non-dropping-particle":"","parse-names":false,"suffix":""},{"dropping-particle":"","family":"Shamoon","given":"Muhammad","non-dropping-particle":"","parse-names":false,"suffix":""},{"dropping-particle":"","family":"Shoaib","given":"Muhammad","non-dropping-particle":"","parse-names":false,"suffix":""},{"dropping-particle":"","family":"Haider","given":"Junaid","non-dropping-particle":"","parse-names":false,"suffix":""},{"dropping-particle":"","family":"Zhong","given":"Fang","non-dropping-particle":"","parse-names":false,"suffix":""}],"container-title":"Food Hydrocolloids","id":"ITEM-2","issued":{"date-parts":[["2017"]]},"page":"365-377","title":"Influence of OSA-starch on the physico chemical characteristics of flax seed oil-eugenol nanoemulsions","type":"article-journal","volume":"66"},"uris":["http://www.mendeley.com/documents/?uuid=8d7c1982-abab-4420-9e47-e3cc5a952008"]}],"mendeley":{"formattedCitation":"&lt;span style=\"baseline\"&gt;[6,7]&lt;/span&gt;","plainTextFormattedCitation":"[6,7]","previouslyFormattedCitation":"&lt;span style=\"baseline\"&gt;[6,7]&lt;/span&gt;"},"properties":{"noteIndex":0},"schema":"https://github.com/citation-style-language/schema/raw/master/csl-citation.json"}</w:instrText>
      </w:r>
      <w:r w:rsidRPr="00920632">
        <w:rPr>
          <w:lang w:bidi="hi-IN"/>
        </w:rPr>
        <w:fldChar w:fldCharType="separate"/>
      </w:r>
      <w:r w:rsidR="00743997" w:rsidRPr="00920632">
        <w:rPr>
          <w:noProof/>
          <w:lang w:bidi="hi-IN"/>
        </w:rPr>
        <w:t>[6,7]</w:t>
      </w:r>
      <w:r w:rsidRPr="00920632">
        <w:rPr>
          <w:lang w:bidi="hi-IN"/>
        </w:rPr>
        <w:fldChar w:fldCharType="end"/>
      </w:r>
      <w:r w:rsidRPr="00920632">
        <w:rPr>
          <w:lang w:bidi="hi-IN"/>
        </w:rPr>
        <w:t>.</w:t>
      </w:r>
    </w:p>
    <w:p w14:paraId="451E3519" w14:textId="0BD2D9C9" w:rsidR="00E340F0" w:rsidRPr="00920632" w:rsidRDefault="00E340F0" w:rsidP="00E340F0">
      <w:pPr>
        <w:spacing w:line="360" w:lineRule="auto"/>
        <w:jc w:val="center"/>
      </w:pPr>
    </w:p>
    <w:p w14:paraId="32E7DFEB" w14:textId="05A678AF" w:rsidR="00E340F0" w:rsidRPr="00920632" w:rsidRDefault="00E340F0" w:rsidP="00426F88">
      <w:pPr>
        <w:spacing w:line="360" w:lineRule="auto"/>
        <w:jc w:val="center"/>
        <w:rPr>
          <w:lang w:bidi="hi-IN"/>
        </w:rPr>
      </w:pPr>
      <w:r w:rsidRPr="00920632">
        <w:rPr>
          <w:b/>
        </w:rPr>
        <w:t>Figure S3</w:t>
      </w:r>
    </w:p>
    <w:p w14:paraId="28889CA5" w14:textId="0C208582" w:rsidR="007114EA" w:rsidRPr="00920632" w:rsidRDefault="007114EA" w:rsidP="00E7014E">
      <w:pPr>
        <w:pStyle w:val="VAFigureCaption"/>
        <w:spacing w:line="360" w:lineRule="auto"/>
        <w:rPr>
          <w:rFonts w:ascii="Times New Roman" w:hAnsi="Times New Roman"/>
        </w:rPr>
      </w:pPr>
      <w:r w:rsidRPr="00920632">
        <w:rPr>
          <w:rFonts w:ascii="Times New Roman" w:hAnsi="Times New Roman"/>
          <w:b/>
          <w:i/>
          <w:iCs/>
          <w:szCs w:val="24"/>
        </w:rPr>
        <w:t>In vitro</w:t>
      </w:r>
      <w:r w:rsidRPr="00920632">
        <w:rPr>
          <w:rFonts w:ascii="Times New Roman" w:hAnsi="Times New Roman"/>
          <w:b/>
          <w:szCs w:val="24"/>
        </w:rPr>
        <w:t xml:space="preserve"> physicochemical characterization and hemolysis study </w:t>
      </w:r>
    </w:p>
    <w:p w14:paraId="3E51585E" w14:textId="27BE3EB0" w:rsidR="007114EA" w:rsidRPr="00920632" w:rsidRDefault="00C27D0E" w:rsidP="0094056E">
      <w:pPr>
        <w:spacing w:line="360" w:lineRule="auto"/>
      </w:pPr>
      <w:r w:rsidRPr="00920632">
        <w:rPr>
          <w:rFonts w:ascii="Times New Roman" w:hAnsi="Times New Roman"/>
        </w:rPr>
        <w:t xml:space="preserve">Particle size, PDI and zeta potential of the developed </w:t>
      </w:r>
      <w:r w:rsidRPr="00920632">
        <w:rPr>
          <w:rFonts w:ascii="Times New Roman" w:hAnsi="Times New Roman"/>
          <w:bCs/>
        </w:rPr>
        <w:t>TPP-TPGS</w:t>
      </w:r>
      <w:r w:rsidRPr="00920632">
        <w:rPr>
          <w:rFonts w:ascii="Times New Roman" w:hAnsi="Times New Roman"/>
          <w:bCs/>
          <w:vertAlign w:val="subscript"/>
        </w:rPr>
        <w:t>1000</w:t>
      </w:r>
      <w:r w:rsidRPr="00920632">
        <w:rPr>
          <w:rFonts w:ascii="Times New Roman" w:hAnsi="Times New Roman"/>
          <w:bCs/>
        </w:rPr>
        <w:t>-PTX-NE</w:t>
      </w:r>
      <w:r w:rsidRPr="00920632">
        <w:rPr>
          <w:rFonts w:ascii="Times New Roman" w:hAnsi="Times New Roman"/>
        </w:rPr>
        <w:t xml:space="preserve"> were analyzed using zetasizer (Nano-ZS, Malvern instrument, UK). In order to confirm the </w:t>
      </w:r>
      <w:r w:rsidRPr="00920632">
        <w:rPr>
          <w:rFonts w:ascii="Times New Roman" w:hAnsi="Times New Roman"/>
          <w:i/>
          <w:iCs/>
        </w:rPr>
        <w:t>in vitro</w:t>
      </w:r>
      <w:r w:rsidRPr="00920632">
        <w:rPr>
          <w:rFonts w:ascii="Times New Roman" w:hAnsi="Times New Roman"/>
        </w:rPr>
        <w:t xml:space="preserve"> toxicity as well as </w:t>
      </w:r>
      <w:r w:rsidRPr="00920632">
        <w:rPr>
          <w:rFonts w:ascii="Times New Roman" w:hAnsi="Times New Roman"/>
          <w:i/>
          <w:iCs/>
        </w:rPr>
        <w:t>ex-vivo</w:t>
      </w:r>
      <w:r w:rsidRPr="00920632">
        <w:rPr>
          <w:rFonts w:ascii="Times New Roman" w:hAnsi="Times New Roman"/>
        </w:rPr>
        <w:t xml:space="preserve"> hemolysis, TPP-TPGS</w:t>
      </w:r>
      <w:r w:rsidRPr="00920632">
        <w:rPr>
          <w:rFonts w:ascii="Times New Roman" w:hAnsi="Times New Roman"/>
          <w:color w:val="000000"/>
          <w:vertAlign w:val="subscript"/>
          <w:lang w:bidi="hi-IN"/>
        </w:rPr>
        <w:t>1000</w:t>
      </w:r>
      <w:r w:rsidRPr="00920632">
        <w:rPr>
          <w:rFonts w:ascii="Times New Roman" w:hAnsi="Times New Roman"/>
        </w:rPr>
        <w:t>-NE, and TPP-TPGS</w:t>
      </w:r>
      <w:r w:rsidRPr="00920632">
        <w:rPr>
          <w:rFonts w:ascii="Times New Roman" w:hAnsi="Times New Roman"/>
          <w:color w:val="000000"/>
          <w:vertAlign w:val="subscript"/>
          <w:lang w:bidi="hi-IN"/>
        </w:rPr>
        <w:t>1000</w:t>
      </w:r>
      <w:r w:rsidRPr="00920632">
        <w:rPr>
          <w:rFonts w:ascii="Times New Roman" w:hAnsi="Times New Roman"/>
        </w:rPr>
        <w:t>-PTX-NE were screened out for their hemolytic profile</w:t>
      </w:r>
      <w:r w:rsidR="00743997" w:rsidRPr="00920632">
        <w:rPr>
          <w:rFonts w:ascii="Times New Roman" w:hAnsi="Times New Roman"/>
        </w:rPr>
        <w:t xml:space="preserve"> </w:t>
      </w:r>
      <w:r w:rsidR="00176395" w:rsidRPr="00920632">
        <w:rPr>
          <w:rFonts w:ascii="Times New Roman" w:hAnsi="Times New Roman"/>
        </w:rPr>
        <w:fldChar w:fldCharType="begin" w:fldLock="1"/>
      </w:r>
      <w:r w:rsidR="007F7849">
        <w:rPr>
          <w:rFonts w:ascii="Times New Roman" w:hAnsi="Times New Roman"/>
        </w:rPr>
        <w:instrText>ADDIN CSL_CITATION {"citationItems":[{"id":"ITEM-1","itemData":{"DOI":"10.1016/j.jconrel.2014.10.010","ISBN":"9818529286","ISSN":"18734995","PMID":"25459427","abstract":"Paclitaxel (PTX) is used as first line treatment for metastatic breast cancer but the relief comes at a heavy cost in terms of accompanying adverse effects. The pharmaceutical credentials of PTX are further dampened by the intrinsically low aqueous solubility. In order to sideline such insidious tendencies, PTX was incorporated in a vitamin E nanoemulsion using high pressure homogenization. The encapsulation efficiency of PTX in nanoemulsion was 97.81 ± 2.7% and a sustained drug release profile was obtained. PTX loaded nanoemulsion exhibited higher cytotoxicity in breast cancer cell line (MCF-7) when compared to free PTX and marketed formulation (Taxol). Cell cycle arrest study depicted that MCF-7 cells treated with PTX loaded nanoemulsion showed high arrest in G2-M phase. Moreover blank nanoemulsion induced additional apoptosis in breast cancer cells through G1-S arrest by disrupting mitochondrial membrane potential. Cytokine estimation study in macrophages showed that both PTX loaded nanoemulsion and blank nanoemulsion enhanced secretion of IL-12 and downregulated secretion of IL-4 and IL-10. Results suggest that inclusion of vitamin E in nanoemulsion opened multiple complementary molecular effects which not only magnified the principle antiproliferative activity of PTX but also independently showcased potential in restoring the proactive nature of the breast cancer slackened chronic immune response. In-vivo anticancer activity showed significantly improved efficacy of PTX loaded nanoemlsion compare to Taxol and free PTX. The list of plausible advantages of PTX nanoemulsification was further substantiated by acceptable haemolytic potential, reduced in-vivo toxicity and conveniently modified pharmacokinetic profile in which the AUC and MRT were extended considerably. Overall, there were strong evidences that developed formulation can serve as a viable alternative to currently available PTX options.","author":[{"dropping-particle":"","family":"VK","given":"Pawar","non-dropping-particle":"","parse-names":false,"suffix":""},{"dropping-particle":"","family":"SB","given":"Panchal","non-dropping-particle":"","parse-names":false,"suffix":""},{"dropping-particle":"","family":"Y","given":"Singh","non-dropping-particle":"","parse-names":false,"suffix":""},{"dropping-particle":"","family":"JG","given":"Meher","non-dropping-particle":"","parse-names":false,"suffix":""},{"dropping-particle":"","family":"K","given":"Sharma","non-dropping-particle":"","parse-names":false,"suffix":""},{"dropping-particle":"","family":"P","given":"Singh","non-dropping-particle":"","parse-names":false,"suffix":""},{"dropping-particle":"","family":"HK","given":"Bora","non-dropping-particle":"","parse-names":false,"suffix":""},{"dropping-particle":"","family":"A","given":"Singh","non-dropping-particle":"","parse-names":false,"suffix":""},{"dropping-particle":"","family":"D","given":"Datta","non-dropping-particle":"","parse-names":false,"suffix":""},{"dropping-particle":"","family":"MK","given":"Chourasia","non-dropping-particle":"","parse-names":false,"suffix":""}],"container-title":"Journal of Controlled Release","id":"ITEM-1","issue":"4","issued":{"date-parts":[["2014","5","19"]]},"page":"295-306","publisher":"Elsevier B.V.","title":"Immunotherapeutic vitamin e nanoemulsion synergies the antiproliferative activity of paclitaxel in breast cancer cells via modulating Th1 and Th2 immune response","type":"article-journal","volume":"196"},"uris":["http://www.mendeley.com/documents/?uuid=1cb81378-6054-4654-9c9d-c6a327d8f28d"]}],"mendeley":{"formattedCitation":"&lt;span style=\"baseline\"&gt;[8]&lt;/span&gt;","plainTextFormattedCitation":"[8]","previouslyFormattedCitation":"&lt;span style=\"baseline\"&gt;[8]&lt;/span&gt;"},"properties":{"noteIndex":0},"schema":"https://github.com/citation-style-language/schema/raw/master/csl-citation.json"}</w:instrText>
      </w:r>
      <w:r w:rsidR="00176395" w:rsidRPr="00920632">
        <w:rPr>
          <w:rFonts w:ascii="Times New Roman" w:hAnsi="Times New Roman"/>
        </w:rPr>
        <w:fldChar w:fldCharType="separate"/>
      </w:r>
      <w:r w:rsidR="00743997" w:rsidRPr="00920632">
        <w:rPr>
          <w:rFonts w:ascii="Times New Roman" w:hAnsi="Times New Roman"/>
          <w:noProof/>
        </w:rPr>
        <w:t>[8]</w:t>
      </w:r>
      <w:r w:rsidR="00176395" w:rsidRPr="00920632">
        <w:rPr>
          <w:rFonts w:ascii="Times New Roman" w:hAnsi="Times New Roman"/>
        </w:rPr>
        <w:fldChar w:fldCharType="end"/>
      </w:r>
      <w:r w:rsidR="002F0A97" w:rsidRPr="00920632">
        <w:rPr>
          <w:rFonts w:ascii="Times New Roman" w:hAnsi="Times New Roman"/>
        </w:rPr>
        <w:t>.</w:t>
      </w:r>
    </w:p>
    <w:bookmarkEnd w:id="1"/>
    <w:p w14:paraId="75807C8A" w14:textId="632FDDB1" w:rsidR="00633633" w:rsidRPr="00920632" w:rsidRDefault="00633633" w:rsidP="0094056E">
      <w:pPr>
        <w:autoSpaceDE w:val="0"/>
        <w:autoSpaceDN w:val="0"/>
        <w:adjustRightInd w:val="0"/>
        <w:spacing w:line="360" w:lineRule="auto"/>
        <w:jc w:val="center"/>
        <w:rPr>
          <w:rFonts w:ascii="Times New Roman" w:hAnsi="Times New Roman"/>
          <w:b/>
          <w:szCs w:val="24"/>
        </w:rPr>
      </w:pPr>
    </w:p>
    <w:p w14:paraId="79BCFE0B" w14:textId="57B82417" w:rsidR="006F5CC7" w:rsidRPr="00920632" w:rsidRDefault="007C7DC8" w:rsidP="007E449C">
      <w:pPr>
        <w:pStyle w:val="VAFigureCaption"/>
        <w:spacing w:line="360" w:lineRule="auto"/>
        <w:jc w:val="center"/>
        <w:rPr>
          <w:rFonts w:ascii="Times New Roman" w:hAnsi="Times New Roman"/>
          <w:lang w:bidi="hi-IN"/>
        </w:rPr>
      </w:pPr>
      <w:r w:rsidRPr="00920632">
        <w:rPr>
          <w:rFonts w:ascii="Times New Roman" w:hAnsi="Times New Roman"/>
          <w:b/>
          <w:bCs/>
        </w:rPr>
        <w:t>Figure</w:t>
      </w:r>
      <w:r w:rsidR="006F5CC7" w:rsidRPr="00920632">
        <w:rPr>
          <w:rFonts w:ascii="Times New Roman" w:hAnsi="Times New Roman"/>
          <w:b/>
          <w:bCs/>
        </w:rPr>
        <w:t xml:space="preserve"> </w:t>
      </w:r>
      <w:r w:rsidR="00C402AF" w:rsidRPr="00920632">
        <w:rPr>
          <w:rFonts w:ascii="Times New Roman" w:hAnsi="Times New Roman"/>
          <w:b/>
          <w:bCs/>
        </w:rPr>
        <w:t>S</w:t>
      </w:r>
      <w:r w:rsidR="00E340F0" w:rsidRPr="00920632">
        <w:rPr>
          <w:rFonts w:ascii="Times New Roman" w:hAnsi="Times New Roman"/>
          <w:b/>
          <w:bCs/>
        </w:rPr>
        <w:t>4</w:t>
      </w:r>
      <w:bookmarkStart w:id="4" w:name="_Hlk116583448"/>
    </w:p>
    <w:bookmarkEnd w:id="4"/>
    <w:p w14:paraId="250D7CE6" w14:textId="5A2CCC91" w:rsidR="009819E3" w:rsidRPr="00920632" w:rsidRDefault="009819E3" w:rsidP="0094056E">
      <w:pPr>
        <w:spacing w:line="360" w:lineRule="auto"/>
        <w:rPr>
          <w:rFonts w:ascii="Times New Roman" w:hAnsi="Times New Roman"/>
          <w:b/>
          <w:bCs/>
          <w:color w:val="000000"/>
          <w:szCs w:val="24"/>
          <w:lang w:val="en-IN"/>
        </w:rPr>
      </w:pPr>
      <w:r w:rsidRPr="00920632">
        <w:rPr>
          <w:rFonts w:ascii="Times New Roman" w:hAnsi="Times New Roman"/>
          <w:b/>
          <w:bCs/>
          <w:color w:val="000000"/>
          <w:szCs w:val="24"/>
          <w:lang w:val="en-IN"/>
        </w:rPr>
        <w:t xml:space="preserve">Determination of </w:t>
      </w:r>
      <w:r w:rsidRPr="00920632">
        <w:rPr>
          <w:rFonts w:ascii="Times New Roman" w:hAnsi="Times New Roman"/>
          <w:b/>
          <w:szCs w:val="24"/>
        </w:rPr>
        <w:t xml:space="preserve">drug loading and </w:t>
      </w:r>
      <w:r w:rsidRPr="00920632">
        <w:rPr>
          <w:rFonts w:ascii="Times New Roman" w:hAnsi="Times New Roman"/>
          <w:b/>
          <w:bCs/>
          <w:color w:val="000000"/>
          <w:szCs w:val="24"/>
          <w:lang w:val="en-IN"/>
        </w:rPr>
        <w:t>encapsulation efficiency</w:t>
      </w:r>
      <w:r w:rsidRPr="00920632">
        <w:rPr>
          <w:rFonts w:ascii="Times New Roman" w:hAnsi="Times New Roman"/>
          <w:b/>
          <w:szCs w:val="24"/>
        </w:rPr>
        <w:t xml:space="preserve"> </w:t>
      </w:r>
      <w:r w:rsidR="00A76386" w:rsidRPr="00920632">
        <w:rPr>
          <w:rFonts w:ascii="Times New Roman" w:hAnsi="Times New Roman"/>
          <w:b/>
          <w:szCs w:val="24"/>
        </w:rPr>
        <w:t xml:space="preserve">of </w:t>
      </w:r>
      <w:r w:rsidRPr="00920632">
        <w:rPr>
          <w:rFonts w:ascii="Times New Roman" w:hAnsi="Times New Roman"/>
          <w:b/>
          <w:szCs w:val="24"/>
        </w:rPr>
        <w:t>TPP-TPGS</w:t>
      </w:r>
      <w:r w:rsidRPr="00920632">
        <w:rPr>
          <w:rFonts w:ascii="Times New Roman" w:hAnsi="Times New Roman"/>
          <w:b/>
          <w:szCs w:val="24"/>
          <w:vertAlign w:val="subscript"/>
        </w:rPr>
        <w:t>1000</w:t>
      </w:r>
      <w:r w:rsidRPr="00920632">
        <w:rPr>
          <w:rFonts w:ascii="Times New Roman" w:hAnsi="Times New Roman"/>
          <w:b/>
          <w:szCs w:val="24"/>
        </w:rPr>
        <w:t>-PTX-NE</w:t>
      </w:r>
    </w:p>
    <w:p w14:paraId="0FABF9B8" w14:textId="0F22F4A1" w:rsidR="00C17C67" w:rsidRPr="00920632" w:rsidRDefault="00AB5931" w:rsidP="00C17C67">
      <w:pPr>
        <w:pStyle w:val="TAMainText"/>
        <w:spacing w:line="360" w:lineRule="auto"/>
        <w:ind w:firstLine="0"/>
      </w:pPr>
      <w:r w:rsidRPr="00920632">
        <w:t xml:space="preserve">A Shimadzu HPLC system integrated with </w:t>
      </w:r>
      <w:r w:rsidRPr="00920632">
        <w:rPr>
          <w:bCs/>
          <w:color w:val="000000" w:themeColor="text1"/>
          <w:kern w:val="36"/>
          <w:shd w:val="clear" w:color="auto" w:fill="FFFFFF"/>
        </w:rPr>
        <w:t xml:space="preserve">binary modular, SIL-20AC HT, binary pump LC20DA, column oven CT0-10AS VP </w:t>
      </w:r>
      <w:r w:rsidRPr="00920632">
        <w:t>and a rheodyne® injector (model 7125, 20 µL loop) was used for chromatographic method development and validation. The chromatographic resolution was accomplished on a C18 Phenomenex Luna column (150 x 4.6 mm, 5μ) at 20 °C of column temperature. PTX was eluted using a mobile phase consisting 60: 40 (% v/v) ratio of acetonitrile and water</w:t>
      </w:r>
      <w:r w:rsidR="00A50F6C" w:rsidRPr="00920632">
        <w:t>. The flow rate was</w:t>
      </w:r>
      <w:r w:rsidRPr="00920632">
        <w:t xml:space="preserve"> 1 ml/min</w:t>
      </w:r>
      <w:r w:rsidR="00B326A5" w:rsidRPr="00920632">
        <w:t xml:space="preserve"> and </w:t>
      </w:r>
      <w:r w:rsidRPr="00920632">
        <w:t>run time for each injection was 9 min. All the solvents were filtered and sonicated by utilizing a bath sonicator at room temperature for 9 min before the experiment. The eluent was monitored for PTX at λ = 227 using Shimadzu SPD-M20A UV-PDA detector</w:t>
      </w:r>
      <w:r w:rsidR="00224C0F" w:rsidRPr="00920632">
        <w:t xml:space="preserve"> </w:t>
      </w:r>
      <w:r w:rsidR="00AB4E5F" w:rsidRPr="00920632">
        <w:fldChar w:fldCharType="begin" w:fldLock="1"/>
      </w:r>
      <w:r w:rsidR="007F7849">
        <w:instrText>ADDIN CSL_CITATION {"citationItems":[{"id":"ITEM-1","itemData":{"DOI":"10.1016/j.jconrel.2014.10.010","ISBN":"9818529286","ISSN":"18734995","PMID":"25459427","abstract":"Paclitaxel (PTX) is used as first line treatment for metastatic breast cancer but the relief comes at a heavy cost in terms of accompanying adverse effects. The pharmaceutical credentials of PTX are further dampened by the intrinsically low aqueous solubility. In order to sideline such insidious tendencies, PTX was incorporated in a vitamin E nanoemulsion using high pressure homogenization. The encapsulation efficiency of PTX in nanoemulsion was 97.81 ± 2.7% and a sustained drug release profile was obtained. PTX loaded nanoemulsion exhibited higher cytotoxicity in breast cancer cell line (MCF-7) when compared to free PTX and marketed formulation (Taxol). Cell cycle arrest study depicted that MCF-7 cells treated with PTX loaded nanoemulsion showed high arrest in G2-M phase. Moreover blank nanoemulsion induced additional apoptosis in breast cancer cells through G1-S arrest by disrupting mitochondrial membrane potential. Cytokine estimation study in macrophages showed that both PTX loaded nanoemulsion and blank nanoemulsion enhanced secretion of IL-12 and downregulated secretion of IL-4 and IL-10. Results suggest that inclusion of vitamin E in nanoemulsion opened multiple complementary molecular effects which not only magnified the principle antiproliferative activity of PTX but also independently showcased potential in restoring the proactive nature of the breast cancer slackened chronic immune response. In-vivo anticancer activity showed significantly improved efficacy of PTX loaded nanoemlsion compare to Taxol and free PTX. The list of plausible advantages of PTX nanoemulsification was further substantiated by acceptable haemolytic potential, reduced in-vivo toxicity and conveniently modified pharmacokinetic profile in which the AUC and MRT were extended considerably. Overall, there were strong evidences that developed formulation can serve as a viable alternative to currently available PTX options.","author":[{"dropping-particle":"","family":"VK","given":"Pawar","non-dropping-particle":"","parse-names":false,"suffix":""},{"dropping-particle":"","family":"SB","given":"Panchal","non-dropping-particle":"","parse-names":false,"suffix":""},{"dropping-particle":"","family":"Y","given":"Singh","non-dropping-particle":"","parse-names":false,"suffix":""},{"dropping-particle":"","family":"JG","given":"Meher","non-dropping-particle":"","parse-names":false,"suffix":""},{"dropping-particle":"","family":"K","given":"Sharma","non-dropping-particle":"","parse-names":false,"suffix":""},{"dropping-particle":"","family":"P","given":"Singh","non-dropping-particle":"","parse-names":false,"suffix":""},{"dropping-particle":"","family":"HK","given":"Bora","non-dropping-particle":"","parse-names":false,"suffix":""},{"dropping-particle":"","family":"A","given":"Singh","non-dropping-particle":"","parse-names":false,"suffix":""},{"dropping-particle":"","family":"D","given":"Datta","non-dropping-particle":"","parse-names":false,"suffix":""},{"dropping-particle":"","family":"MK","given":"Chourasia","non-dropping-particle":"","parse-names":false,"suffix":""}],"container-title":"Journal of Controlled Release","id":"ITEM-1","issue":"4","issued":{"date-parts":[["2014","5","19"]]},"page":"295-306","publisher":"Elsevier B.V.","title":"Immunotherapeutic vitamin e nanoemulsion synergies the antiproliferative activity of paclitaxel in breast cancer cells via modulating Th1 and Th2 immune response","type":"article-journal","volume":"196"},"uris":["http://www.mendeley.com/documents/?uuid=1cb81378-6054-4654-9c9d-c6a327d8f28d"]},{"id":"ITEM-2","itemData":{"DOI":"10.1016/j.colsurfb.2016.10.050","ISBN":"0927-7765","ISSN":"18734367","PMID":"27823852","abstract":"The purpose of this study was to develop hyaluronan-coated nanoemulsions (HNEs) with high solubilizing capacity and tumor cell targeting capability for the poorly soluble paclitaxel. The HNEs were composed of DL-a-tocopheryl acetate, soybean oil, polysorbate 80, and ferric chloride and were coated with hyaluronic acid (HA) as a targeting moiety. The nanoemulsions (NEs) and HNEs with or without paclitaxel (PTX) were prepared using high-pressure homogenization with a microfluidizer and were lyophilized with D-mannitol. The particle diameter and zeta potential of the HNEs were 65 ± 15 nm and −39.5 ± 0.33 mV, respectively. The concentration of PTX loaded in the NEs was 6 mg/mL, which was higher than that in any other nanocarrier. The HNEs were coated with HA on the outer surface of the sphere and the amount of HA was 0.82 ± 0.10% (w/w). The lyophilized formulation was stable at 4 °C for 12 months and the reconstituted HNE solution was stable for at least 96 h, even though Taxol®can be maintained for only 72 h. In the cell affinity studies with SK-OV-3 (cluster of differentiation 44 [CD44]+) and OVCAR-3 (CD44−) cells, the HNEs displayed a 10-fold higher targeting capability than the NEs did. Therefore, the HNEs displayed high drug loading capability, excellent stability, and targeting of tumor cells overexpressing CD44, which suggested they were a potentially effective nanocarrier for carrying poorly soluble paclitaxel and targeting tumors.","author":[{"dropping-particle":"","family":"Kim","given":"Joo Eun","non-dropping-particle":"","parse-names":false,"suffix":""},{"dropping-particle":"","family":"Park","given":"Young Joon","non-dropping-particle":"","parse-names":false,"suffix":""}],"container-title":"Colloids and Surfaces B: Biointerfaces","id":"ITEM-2","issued":{"date-parts":[["2017"]]},"page":"362-372","publisher":"Elsevier B.V.","title":"High paclitaxel-loaded and tumor cell-targeting hyaluronan-coated nanoemulsions","type":"article-journal","volume":"150"},"uris":["http://www.mendeley.com/documents/?uuid=38a1ff01-3388-4c06-9615-3afd2f850fab"]}],"mendeley":{"formattedCitation":"&lt;span style=\"baseline\"&gt;[8,9]&lt;/span&gt;","plainTextFormattedCitation":"[8,9]","previouslyFormattedCitation":"&lt;span style=\"baseline\"&gt;[8,9]&lt;/span&gt;"},"properties":{"noteIndex":0},"schema":"https://github.com/citation-style-language/schema/raw/master/csl-citation.json"}</w:instrText>
      </w:r>
      <w:r w:rsidR="00AB4E5F" w:rsidRPr="00920632">
        <w:fldChar w:fldCharType="separate"/>
      </w:r>
      <w:r w:rsidR="00743997" w:rsidRPr="00920632">
        <w:rPr>
          <w:noProof/>
        </w:rPr>
        <w:t>[8,9]</w:t>
      </w:r>
      <w:r w:rsidR="00AB4E5F" w:rsidRPr="00920632">
        <w:fldChar w:fldCharType="end"/>
      </w:r>
      <w:r w:rsidR="00224C0F" w:rsidRPr="00920632">
        <w:t>.</w:t>
      </w:r>
    </w:p>
    <w:p w14:paraId="0BE8BD41" w14:textId="055E59E9" w:rsidR="009C15A8" w:rsidRPr="00920632" w:rsidRDefault="00B04BF5" w:rsidP="00C17C67">
      <w:pPr>
        <w:pStyle w:val="TAMainText"/>
        <w:spacing w:line="360" w:lineRule="auto"/>
        <w:ind w:firstLine="0"/>
      </w:pPr>
      <w:r w:rsidRPr="00920632">
        <w:rPr>
          <w:rFonts w:ascii="Times New Roman" w:hAnsi="Times New Roman"/>
          <w:b/>
          <w:bCs/>
          <w:szCs w:val="24"/>
        </w:rPr>
        <w:t xml:space="preserve">Chromatographic conditions for LC-MS/MS and </w:t>
      </w:r>
      <w:r w:rsidRPr="00920632">
        <w:rPr>
          <w:rFonts w:ascii="Times New Roman" w:hAnsi="Times New Roman"/>
          <w:b/>
        </w:rPr>
        <w:t>p</w:t>
      </w:r>
      <w:r w:rsidR="00BD5CDF" w:rsidRPr="00920632">
        <w:rPr>
          <w:rFonts w:ascii="Times New Roman" w:hAnsi="Times New Roman"/>
          <w:b/>
        </w:rPr>
        <w:t>harmacokinetic</w:t>
      </w:r>
      <w:r w:rsidR="00A82B8D" w:rsidRPr="00920632">
        <w:rPr>
          <w:rFonts w:ascii="Times New Roman" w:hAnsi="Times New Roman"/>
          <w:b/>
        </w:rPr>
        <w:t xml:space="preserve"> drug profile of </w:t>
      </w:r>
      <w:r w:rsidR="001E54F6" w:rsidRPr="00920632">
        <w:rPr>
          <w:rFonts w:ascii="Times New Roman" w:hAnsi="Times New Roman"/>
          <w:b/>
        </w:rPr>
        <w:t>Taxol vs</w:t>
      </w:r>
      <w:r w:rsidR="00BD5CDF" w:rsidRPr="00920632">
        <w:rPr>
          <w:rFonts w:ascii="Times New Roman" w:hAnsi="Times New Roman"/>
          <w:b/>
        </w:rPr>
        <w:t xml:space="preserve"> </w:t>
      </w:r>
      <w:r w:rsidR="00BD5CDF" w:rsidRPr="00920632">
        <w:rPr>
          <w:b/>
        </w:rPr>
        <w:t>TPP-TPGS</w:t>
      </w:r>
      <w:r w:rsidR="00BD5CDF" w:rsidRPr="00920632">
        <w:rPr>
          <w:b/>
          <w:vertAlign w:val="subscript"/>
        </w:rPr>
        <w:t>1000</w:t>
      </w:r>
      <w:r w:rsidR="00BD5CDF" w:rsidRPr="00920632">
        <w:rPr>
          <w:b/>
        </w:rPr>
        <w:t>-PTX-NE</w:t>
      </w:r>
      <w:r w:rsidR="009C15A8" w:rsidRPr="00920632">
        <w:rPr>
          <w:b/>
        </w:rPr>
        <w:t xml:space="preserve"> in tissue samples</w:t>
      </w:r>
    </w:p>
    <w:p w14:paraId="77933267" w14:textId="77777777" w:rsidR="00DD73BF" w:rsidRPr="00920632" w:rsidRDefault="00BD5CDF" w:rsidP="0094056E">
      <w:pPr>
        <w:pStyle w:val="TAMainText"/>
        <w:spacing w:line="360" w:lineRule="auto"/>
        <w:ind w:firstLine="0"/>
        <w:rPr>
          <w:szCs w:val="24"/>
        </w:rPr>
      </w:pPr>
      <w:r w:rsidRPr="00920632">
        <w:rPr>
          <w:b/>
          <w:szCs w:val="24"/>
        </w:rPr>
        <w:t xml:space="preserve">Source Parameters: </w:t>
      </w:r>
      <w:r w:rsidRPr="00920632">
        <w:rPr>
          <w:szCs w:val="24"/>
        </w:rPr>
        <w:t>Sheath gas= 50, Auxiliary gas = 10, sweep gas = 0, Spray voltage (V) = 4000, Vaporizer temp (</w:t>
      </w:r>
      <w:r w:rsidR="006A42DD" w:rsidRPr="00920632">
        <w:rPr>
          <w:rFonts w:cs="Times"/>
          <w:szCs w:val="24"/>
          <w:vertAlign w:val="superscript"/>
        </w:rPr>
        <w:t>°</w:t>
      </w:r>
      <w:r w:rsidRPr="00920632">
        <w:rPr>
          <w:szCs w:val="24"/>
        </w:rPr>
        <w:t>C) = 325.</w:t>
      </w:r>
      <w:r w:rsidR="00C27D4A" w:rsidRPr="00920632">
        <w:rPr>
          <w:noProof/>
          <w:lang w:bidi="hi-IN"/>
        </w:rPr>
        <w:t xml:space="preserve"> </w:t>
      </w:r>
    </w:p>
    <w:p w14:paraId="65019905" w14:textId="77777777" w:rsidR="00DD73BF" w:rsidRPr="00920632" w:rsidRDefault="00BD5CDF" w:rsidP="0094056E">
      <w:pPr>
        <w:pStyle w:val="TAMainText"/>
        <w:spacing w:line="360" w:lineRule="auto"/>
        <w:ind w:firstLine="0"/>
        <w:rPr>
          <w:szCs w:val="24"/>
        </w:rPr>
      </w:pPr>
      <w:r w:rsidRPr="00920632">
        <w:rPr>
          <w:b/>
          <w:szCs w:val="24"/>
        </w:rPr>
        <w:t xml:space="preserve">Compound Parameters: </w:t>
      </w:r>
      <w:r w:rsidRPr="00920632">
        <w:rPr>
          <w:szCs w:val="24"/>
        </w:rPr>
        <w:t>Precursor ion = 876.338</w:t>
      </w:r>
      <w:r w:rsidR="00DE6B8D" w:rsidRPr="00920632">
        <w:rPr>
          <w:szCs w:val="24"/>
        </w:rPr>
        <w:t xml:space="preserve"> (</w:t>
      </w:r>
      <w:proofErr w:type="spellStart"/>
      <w:r w:rsidR="00DE6B8D" w:rsidRPr="00920632">
        <w:rPr>
          <w:szCs w:val="24"/>
        </w:rPr>
        <w:t>M+Na</w:t>
      </w:r>
      <w:proofErr w:type="spellEnd"/>
      <w:r w:rsidR="00DE6B8D" w:rsidRPr="00920632">
        <w:rPr>
          <w:szCs w:val="24"/>
        </w:rPr>
        <w:t>)</w:t>
      </w:r>
      <w:r w:rsidRPr="00920632">
        <w:rPr>
          <w:szCs w:val="24"/>
        </w:rPr>
        <w:t>, Product ion = 308.071, Collision energy (V) = 28.01, CID gas (</w:t>
      </w:r>
      <w:proofErr w:type="spellStart"/>
      <w:r w:rsidRPr="00920632">
        <w:rPr>
          <w:szCs w:val="24"/>
        </w:rPr>
        <w:t>mTor</w:t>
      </w:r>
      <w:proofErr w:type="spellEnd"/>
      <w:r w:rsidRPr="00920632">
        <w:rPr>
          <w:szCs w:val="24"/>
        </w:rPr>
        <w:t>) = 1.5, RF (V) = 206, Q1 resolution = 0.7, Q3 resolution = 0.7, Dwell time (</w:t>
      </w:r>
      <w:proofErr w:type="spellStart"/>
      <w:r w:rsidRPr="00920632">
        <w:rPr>
          <w:szCs w:val="24"/>
        </w:rPr>
        <w:t>ms</w:t>
      </w:r>
      <w:proofErr w:type="spellEnd"/>
      <w:r w:rsidRPr="00920632">
        <w:rPr>
          <w:szCs w:val="24"/>
        </w:rPr>
        <w:t>) = 100. For internal standard (Phenacetin), Precursor ion = 179.9, Product ion = 109.9, Collision energy (V) = 20, RF (V) = 30, CID gas (</w:t>
      </w:r>
      <w:proofErr w:type="spellStart"/>
      <w:r w:rsidRPr="00920632">
        <w:rPr>
          <w:szCs w:val="24"/>
        </w:rPr>
        <w:t>mTor</w:t>
      </w:r>
      <w:proofErr w:type="spellEnd"/>
      <w:r w:rsidRPr="00920632">
        <w:rPr>
          <w:szCs w:val="24"/>
        </w:rPr>
        <w:t>) = 1.5, RF (V) = 206, Q1 resolution = 0.7, Q3 resolution = 0.7, Dwell time (</w:t>
      </w:r>
      <w:proofErr w:type="spellStart"/>
      <w:r w:rsidRPr="00920632">
        <w:rPr>
          <w:szCs w:val="24"/>
        </w:rPr>
        <w:t>ms</w:t>
      </w:r>
      <w:proofErr w:type="spellEnd"/>
      <w:r w:rsidRPr="00920632">
        <w:rPr>
          <w:szCs w:val="24"/>
        </w:rPr>
        <w:t>)</w:t>
      </w:r>
      <w:r w:rsidR="00843609" w:rsidRPr="00920632">
        <w:rPr>
          <w:szCs w:val="24"/>
        </w:rPr>
        <w:t xml:space="preserve"> </w:t>
      </w:r>
      <w:r w:rsidRPr="00920632">
        <w:rPr>
          <w:szCs w:val="24"/>
        </w:rPr>
        <w:t>=100</w:t>
      </w:r>
    </w:p>
    <w:p w14:paraId="09583B8C" w14:textId="77777777" w:rsidR="00DD73BF" w:rsidRPr="00920632" w:rsidRDefault="00BD5CDF" w:rsidP="0094056E">
      <w:pPr>
        <w:pStyle w:val="TAMainText"/>
        <w:spacing w:line="360" w:lineRule="auto"/>
        <w:ind w:firstLine="0"/>
        <w:rPr>
          <w:szCs w:val="24"/>
        </w:rPr>
      </w:pPr>
      <w:r w:rsidRPr="00920632">
        <w:rPr>
          <w:b/>
          <w:szCs w:val="24"/>
        </w:rPr>
        <w:lastRenderedPageBreak/>
        <w:t xml:space="preserve">Chromatographic separation: </w:t>
      </w:r>
      <w:r w:rsidRPr="00920632">
        <w:rPr>
          <w:szCs w:val="24"/>
        </w:rPr>
        <w:t xml:space="preserve">Phenomenex Luna (C18), 150 </w:t>
      </w:r>
      <w:r w:rsidR="000F45BA" w:rsidRPr="00920632">
        <w:rPr>
          <w:rFonts w:cs="Times"/>
          <w:szCs w:val="24"/>
        </w:rPr>
        <w:t>×</w:t>
      </w:r>
      <w:r w:rsidRPr="00920632">
        <w:rPr>
          <w:szCs w:val="24"/>
        </w:rPr>
        <w:t xml:space="preserve"> 4.6 mm, 5μ) column</w:t>
      </w:r>
      <w:r w:rsidR="00894001" w:rsidRPr="00920632">
        <w:rPr>
          <w:szCs w:val="24"/>
        </w:rPr>
        <w:t xml:space="preserve"> was used for chromatographic separation</w:t>
      </w:r>
      <w:r w:rsidR="009C78BF" w:rsidRPr="00920632">
        <w:rPr>
          <w:szCs w:val="24"/>
        </w:rPr>
        <w:t xml:space="preserve"> of PTX. </w:t>
      </w:r>
      <w:r w:rsidR="00894001" w:rsidRPr="00920632">
        <w:rPr>
          <w:szCs w:val="24"/>
        </w:rPr>
        <w:t>Formic acid (</w:t>
      </w:r>
      <w:r w:rsidRPr="00920632">
        <w:rPr>
          <w:szCs w:val="24"/>
        </w:rPr>
        <w:t>0.1</w:t>
      </w:r>
      <w:r w:rsidR="006A42DD" w:rsidRPr="00920632">
        <w:rPr>
          <w:szCs w:val="24"/>
        </w:rPr>
        <w:t xml:space="preserve"> </w:t>
      </w:r>
      <w:r w:rsidRPr="00920632">
        <w:rPr>
          <w:szCs w:val="24"/>
        </w:rPr>
        <w:t>%</w:t>
      </w:r>
      <w:r w:rsidR="00894001" w:rsidRPr="00920632">
        <w:rPr>
          <w:szCs w:val="24"/>
        </w:rPr>
        <w:t xml:space="preserve"> v/v)</w:t>
      </w:r>
      <w:r w:rsidRPr="00920632">
        <w:rPr>
          <w:szCs w:val="24"/>
        </w:rPr>
        <w:t xml:space="preserve"> in </w:t>
      </w:r>
      <w:r w:rsidR="003D38A3" w:rsidRPr="00920632">
        <w:rPr>
          <w:szCs w:val="24"/>
        </w:rPr>
        <w:t>m</w:t>
      </w:r>
      <w:r w:rsidR="001A1FA9" w:rsidRPr="00920632">
        <w:rPr>
          <w:szCs w:val="24"/>
        </w:rPr>
        <w:t>ethanol (MeOH)</w:t>
      </w:r>
      <w:r w:rsidR="003D38A3" w:rsidRPr="00920632">
        <w:rPr>
          <w:szCs w:val="24"/>
        </w:rPr>
        <w:t>:</w:t>
      </w:r>
      <w:r w:rsidRPr="00920632">
        <w:rPr>
          <w:szCs w:val="24"/>
        </w:rPr>
        <w:t>10</w:t>
      </w:r>
      <w:r w:rsidR="006A42DD" w:rsidRPr="00920632">
        <w:rPr>
          <w:szCs w:val="24"/>
        </w:rPr>
        <w:t xml:space="preserve"> </w:t>
      </w:r>
      <w:r w:rsidR="00763472" w:rsidRPr="00920632">
        <w:rPr>
          <w:szCs w:val="24"/>
        </w:rPr>
        <w:t>milli molar</w:t>
      </w:r>
      <w:r w:rsidRPr="00920632">
        <w:rPr>
          <w:szCs w:val="24"/>
        </w:rPr>
        <w:t xml:space="preserve"> ammonium acetate, 75:25 (v/v)</w:t>
      </w:r>
      <w:r w:rsidR="003D38A3" w:rsidRPr="00920632">
        <w:rPr>
          <w:szCs w:val="24"/>
        </w:rPr>
        <w:t xml:space="preserve"> used as mobile </w:t>
      </w:r>
      <w:r w:rsidR="001D2A7C" w:rsidRPr="00920632">
        <w:rPr>
          <w:szCs w:val="24"/>
        </w:rPr>
        <w:t>phase,</w:t>
      </w:r>
      <w:r w:rsidR="003D38A3" w:rsidRPr="00920632">
        <w:rPr>
          <w:szCs w:val="24"/>
        </w:rPr>
        <w:t xml:space="preserve"> with</w:t>
      </w:r>
      <w:r w:rsidR="00763472" w:rsidRPr="00920632">
        <w:rPr>
          <w:szCs w:val="24"/>
        </w:rPr>
        <w:t xml:space="preserve"> </w:t>
      </w:r>
      <w:r w:rsidRPr="00920632">
        <w:rPr>
          <w:szCs w:val="24"/>
        </w:rPr>
        <w:t>0.6 m</w:t>
      </w:r>
      <w:r w:rsidR="006A42DD" w:rsidRPr="00920632">
        <w:rPr>
          <w:szCs w:val="24"/>
        </w:rPr>
        <w:t>l</w:t>
      </w:r>
      <w:r w:rsidR="00763472" w:rsidRPr="00920632">
        <w:rPr>
          <w:szCs w:val="24"/>
        </w:rPr>
        <w:t>/min</w:t>
      </w:r>
      <w:r w:rsidR="003D38A3" w:rsidRPr="00920632">
        <w:rPr>
          <w:szCs w:val="24"/>
        </w:rPr>
        <w:t xml:space="preserve"> flow rate.</w:t>
      </w:r>
    </w:p>
    <w:p w14:paraId="18F11E76" w14:textId="7585A9E5" w:rsidR="00A46B7E" w:rsidRPr="00920632" w:rsidRDefault="00271596" w:rsidP="0094056E">
      <w:pPr>
        <w:pStyle w:val="TAMainText"/>
        <w:spacing w:line="360" w:lineRule="auto"/>
        <w:rPr>
          <w:szCs w:val="24"/>
        </w:rPr>
      </w:pPr>
      <w:r w:rsidRPr="00920632">
        <w:t>T</w:t>
      </w:r>
      <w:r w:rsidR="00A46B7E" w:rsidRPr="00920632">
        <w:t xml:space="preserve">issue </w:t>
      </w:r>
      <w:r w:rsidRPr="00920632">
        <w:t xml:space="preserve">drug </w:t>
      </w:r>
      <w:r w:rsidR="00A46B7E" w:rsidRPr="00920632">
        <w:t>concentration data (ng/g) vs</w:t>
      </w:r>
      <w:r w:rsidRPr="00920632">
        <w:t>.</w:t>
      </w:r>
      <w:r w:rsidR="00A46B7E" w:rsidRPr="00920632">
        <w:t xml:space="preserve"> time data were plotted for pharmacokinetic and statistical analysis. Blood volume correction factors (Tumor-0.03, Kidney-0.24, and Liver-0.31) were applied to collected relevant tissue concentration data in the computation of final tissue concentration. Further, concentration was then evaluated using WinNonlin (Pharsight, Mountain View, CA) software utilizing a non-compartmental analytical approach</w:t>
      </w:r>
      <w:r w:rsidR="00224C0F" w:rsidRPr="00920632">
        <w:t xml:space="preserve"> </w:t>
      </w:r>
      <w:r w:rsidR="00406C86" w:rsidRPr="00920632">
        <w:fldChar w:fldCharType="begin" w:fldLock="1"/>
      </w:r>
      <w:r w:rsidR="004736A9" w:rsidRPr="00920632">
        <w:instrText>ADDIN CSL_CITATION {"citationItems":[{"id":"ITEM-1","itemData":{"DOI":"10.1016/j.colsurfb.2017.04.028","ISSN":"18734367","PMID":"28437753","abstract":"In spite of being a very potent and promising drug against many types of cancer, docetaxel suffers the disadvantage of low solubility and poor bioavailability rendering it unsuitable for oral administration. Also, the available marketed formulation for intravenous administration has its inherent drawbacks owing to the presence of polysorbate 80. Here, we exploited the anticancer and P-gp inhibitory potential of naturally occurring frankincense oil to fabricate a stable docetaxel loaded nanoemulsified carrier system for oral delivery. The nanoemulsion possessing desirable particle size (122 ± 12 nm), polydispersity (0.086 ± 0.007) and zeta potential (−29.8 ± 2.1 mV) was stable against all type of physical stresses and simulated physiological conditions tested. The formulation showed higher uptake in Caco-2 cells and inhibited P-gp transporter significantly (P &lt; 0.05). In MDA-MB-231 cells, it showed less IC50, arrested cells in G2-M phase and exhibited higher degree of apoptosis than marketed formulation Taxotere®. The 182.58 ± 4.16% increment in relative oral bioavailability led to higher in vivo anti-proliferative activity manifesting 19% more inhibition than Taxotere®. Conclusively, it is revealed that the developed nanoemulsion will be a propitious approach towards alternative docetaxel therapy.","author":[{"dropping-particle":"","family":"Pandey","given":"Gitu","non-dropping-particle":"","parse-names":false,"suffix":""},{"dropping-particle":"","family":"Mittapelly","given":"Naresh","non-dropping-particle":"","parse-names":false,"suffix":""},{"dropping-particle":"","family":"Valicherla","given":"Guru Raghavendra","non-dropping-particle":"","parse-names":false,"suffix":""},{"dropping-particle":"","family":"Shukla","given":"Ravi Prakash","non-dropping-particle":"","parse-names":false,"suffix":""},{"dropping-particle":"","family":"Sharma","given":"Shweta","non-dropping-particle":"","parse-names":false,"suffix":""},{"dropping-particle":"","family":"Banala","given":"Venkatesh Teja","non-dropping-particle":"","parse-names":false,"suffix":""},{"dropping-particle":"","family":"Urandur","given":"Sandeep","non-dropping-particle":"","parse-names":false,"suffix":""},{"dropping-particle":"","family":"Jajoriya","given":"Arun Kumar","non-dropping-particle":"","parse-names":false,"suffix":""},{"dropping-particle":"","family":"Mitra","given":"Kalyan","non-dropping-particle":"","parse-names":false,"suffix":""},{"dropping-particle":"","family":"Mishra","given":"D. P.","non-dropping-particle":"","parse-names":false,"suffix":""},{"dropping-particle":"","family":"Gayen","given":"J. R.","non-dropping-particle":"","parse-names":false,"suffix":""},{"dropping-particle":"","family":"Mishra","given":"P. R.","non-dropping-particle":"","parse-names":false,"suffix":""}],"container-title":"Colloids and Surfaces B: Biointerfaces","id":"ITEM-1","issued":{"date-parts":[["2017"]]},"page":"276-286","publisher":"Elsevier B.V.","title":"P-gp modulatory acetyl-11-keto-β-boswellic acid based nanoemulsified carrier system for augmented oral chemotherapy of docetaxel","type":"article-journal","volume":"155"},"uris":["http://www.mendeley.com/documents/?uuid=0e8012ca-8acb-4856-a4c0-60c7ccf09698"]},{"id":"ITEM-2","itemData":{"DOI":"10.1021/acs.molpharmaceut.9b00177","ISSN":"15438392","PMID":"31441308","abstract":"We have devised a nanocarrier using \"tocopheryl polyethylene glycol succinate (TPGS) conjugated to triphenylphosphonium cation\" (TPP-TPGS) for improving the efficacy of doxorubicin hydrochloride (DOX). Triphenylphosphonium cation (TPP) has affinity for an elevated transmembrane potential gradient (mitochondrial), which is usually high in cancer cells. Consequently, when tested in molecular docking and cytotoxicity assays, TPP-TPGS, owing to its structural similarity to mitochondrially directed anticancer compounds of the \"tocopheryl succinate\" family, interferes specifically in mitochondrial CII enzyme activity, increases intracellular oxidative stress, and induces apoptosis in breast cancer cells. DOX loaded nanocarrier (DTPP-TPGS) constructed using TPP-TPGS was positively charged, spherical in shape, sized below 100 nm, and had its drug content distributed evenly. DTPP-TPGS offers greater intracellular drug delivery due to its rapid endocytosis and subsequent endosomal escape. DTPP-TPGS also efficiently inhibits efflux transporter P glycoprotein (PgP), which, along with greater cell uptake and inherent cytotoxic activity of the construction material (TPP-TPGS), cumulatively results in 3-fold increment in anticancer activity of DOX in resistant breast cancer cells as well as greater induction of necroapoptosis and arrest in all phases of the cell cycle. DTPP-TPGS after intravenous administration in Balb/C mice with breast cancer accumulates preferentially in tumor tissue, which produces significantly greater antitumor activity when compared to DOX solution. Toxicity evaluation was also performed to confirm the safety of this formulation. Overall TPP-TPGS is a promising candidate for delivery of DOX.","author":[{"dropping-particle":"","family":"Singh","given":"Yuvraj","non-dropping-particle":"","parse-names":false,"suffix":""},{"dropping-particle":"","family":"Viswanadham","given":"K. K.Durga Rao","non-dropping-particle":"","parse-names":false,"suffix":""},{"dropping-particle":"","family":"Pawar","given":"Vivek K.","non-dropping-particle":"","parse-names":false,"suffix":""},{"dropping-particle":"","family":"Meher","given":"Jayagopal","non-dropping-particle":"","parse-names":false,"suffix":""},{"dropping-particle":"","family":"Jajoriya","given":"Arun Kumar","non-dropping-particle":"","parse-names":false,"suffix":""},{"dropping-particle":"","family":"Omer","given":"Ankur","non-dropping-particle":"","parse-names":false,"suffix":""},{"dropping-particle":"","family":"Jaiswal","given":"Swati","non-dropping-particle":"","parse-names":false,"suffix":""},{"dropping-particle":"","family":"Dewangan","given":"Jayant","non-dropping-particle":"","parse-names":false,"suffix":""},{"dropping-particle":"","family":"Bora","given":"H. K.","non-dropping-particle":"","parse-names":false,"suffix":""},{"dropping-particle":"","family":"Singh","given":"Poonam","non-dropping-particle":"","parse-names":false,"suffix":""},{"dropping-particle":"","family":"Rath","given":"Srikanta Kumar","non-dropping-particle":"","parse-names":false,"suffix":""},{"dropping-particle":"","family":"Lal","given":"Jawahar","non-dropping-particle":"","parse-names":false,"suffix":""},{"dropping-particle":"","family":"Mishra","given":"Durga Prasad","non-dropping-particle":"","parse-names":false,"suffix":""},{"dropping-particle":"","family":"Chourasia","given":"Manish Kumar","non-dropping-particle":"","parse-names":false,"suffix":""}],"container-title":"Molecular Pharmaceutics","id":"ITEM-2","issue":"9","issued":{"date-parts":[["2019","9","3"]]},"page":"3744-3759","title":"Induction of Mitochondrial Cell Death and Reversal of Anticancer Drug Resistance via Nanocarriers Composed of a Triphenylphosphonium Derivative of Tocopheryl Polyethylene Glycol Succinate","type":"article-journal","volume":"16"},"uris":["http://www.mendeley.com/documents/?uuid=91a1ecbd-635c-3b33-9c77-7dadf8179d43"]},{"id":"ITEM-3","itemData":{"DOI":"10.1021/acs.molpharmaceut.7b00310","ISSN":"15438392","PMID":"28636400","abstract":"PLGA was functionalized with PEG and biotin using click chemistry to generate a biotin receptor targeted copolymer (biotinylated–PEG-PLGA) which in turn was used to fabricate ultrafine nanoparticles (BPNP) of doxorubicin hydrochloride (DOX) for effective delivery in 4T1 cell induced breast cancer. However, adequate entrapment of a hydrophilic bioactive like DOX in a hydrophobic polymer system made of PLGA is not usually possible. We therefore modified a conventional W/O/W emulsion method by utilizing NH4Cl in the external phase to constrain DOX in dissolved polymer phase by suppressing DOX’s inherent aqueous solubility as per common ion effect. This resulted in over 8-fold enhancement in entrapment efficiency of DOX inside BPNP, which otherwise is highly susceptible to leakage due to its relatively high aqueous solubility. TEM and DLS established BPNP to be sized below 100 nm, storage stability studies showed that BPNP were stable for one month at 4 °C, and in vitro release suggested significant control i...","author":[{"dropping-particle":"","family":"Singh","given":"Yuvraj","non-dropping-particle":"","parse-names":false,"suffix":""},{"dropping-particle":"","family":"Durga Rao Viswanadham","given":"K. K.","non-dropping-particle":"","parse-names":false,"suffix":""},{"dropping-particle":"","family":"Kumar Jajoriya","given":"Arun","non-dropping-particle":"","parse-names":false,"suffix":""},{"dropping-particle":"","family":"Meher","given":"Jaya Gopal","non-dropping-particle":"","parse-names":false,"suffix":""},{"dropping-particle":"","family":"Raval","given":"Kavit","non-dropping-particle":"","parse-names":false,"suffix":""},{"dropping-particle":"","family":"Jaiswal","given":"Swati","non-dropping-particle":"","parse-names":false,"suffix":""},{"dropping-particle":"","family":"Dewangan","given":"Jayant","non-dropping-particle":"","parse-names":false,"suffix":""},{"dropping-particle":"","family":"Bora","given":"H. K.","non-dropping-particle":"","parse-names":false,"suffix":""},{"dropping-particle":"","family":"Rath","given":"Srikanta Kumar","non-dropping-particle":"","parse-names":false,"suffix":""},{"dropping-particle":"","family":"Lal","given":"Jawahar","non-dropping-particle":"","parse-names":false,"suffix":""},{"dropping-particle":"","family":"Mishra","given":"Durga Prasad","non-dropping-particle":"","parse-names":false,"suffix":""},{"dropping-particle":"","family":"Chourasia","given":"Manish K.","non-dropping-particle":"","parse-names":false,"suffix":""}],"container-title":"Molecular Pharmaceutics","id":"ITEM-3","issue":"8","issued":{"date-parts":[["2017"]]},"page":"2749-2765","title":"Click Biotinylation of PLGA Template for Biotin Receptor Oriented Delivery of Doxorubicin Hydrochloride in 4T1 Cell-Induced Breast Cancer","type":"article-journal","volume":"14"},"uris":["http://www.mendeley.com/documents/?uuid=011d508c-ea0f-4641-8a0b-ba1f4e010152"]},{"id":"ITEM-4","itemData":{"DOI":"10.1016/S0378-4347(01)00238-9","ISSN":"13872273","PMID":"11499483","abstract":"A new rapid and sensitive high-performance liquid chromatographic method for analysis of docetaxel (Taxotere) in human plasma was developed and validated. After adding an internal standard (paclitaxel, Taxol), plasma was extracted following a simple liquid-liquid extraction with diethyl ether. Extraction efficiency averaged 95% for docetaxel. Separation was performed using a Nucleosil (C18) 5 μm column, monitored at 227 nm. The isocratic mobile phase consisted of acetonitrile-acetate buffer, pH 5-tetrahydrofuran (45:50:5, v/v) pumped at a flow-rate of 1.8 ml/min. The limit of quantification for docetaxel in plasma was 12.5 ng/ml. Retention times for docetaxel and paclitaxel were 7.7 and 9 min, respectively. Standard curves were linear over a range of 25-1000 ng/ml. This new method is rapid since it does not require time-consuming extraction procedures, or complex chromatographic conditions. This rapidity, along with the lack of chromatographic interferences with various other drugs likely to be administered to the cancer patients (pain killers, corticoids, antiemetics drugs) make this method suitable for daily routine analysis of Taxotere, a major anticancer drug extensively used in clinical oncology. © 2001 Elsevier Science B.V.","author":[{"dropping-particle":"","family":"Ciccolini","given":"J","non-dropping-particle":"","parse-names":false,"suffix":""},{"dropping-particle":"","family":"Catalin","given":"J","non-dropping-particle":"","parse-names":false,"suffix":""},{"dropping-particle":"","family":"Blachon","given":"M F","non-dropping-particle":"","parse-names":false,"suffix":""},{"dropping-particle":"","family":"Durand","given":"A","non-dropping-particle":"","parse-names":false,"suffix":""}],"container-title":"Journal of Chromatography B: Biomedical Sciences and Applications","id":"ITEM-4","issue":"2","issued":{"date-parts":[["2001"]]},"page":"299-306","title":"Rapid high-performance liquid chromatographic determination of docetaxel (Taxotere) in plasma using liquid-liquid extraction","type":"article-journal","volume":"759"},"uris":["http://www.mendeley.com/documents/?uuid=0e561519-ed36-3730-8a7f-fce064d8b0c4"]}],"mendeley":{"formattedCitation":"&lt;span style=\"baseline\"&gt;[10–13]&lt;/span&gt;","plainTextFormattedCitation":"[10–13]","previouslyFormattedCitation":"&lt;span style=\"baseline\"&gt;[10–13]&lt;/span&gt;"},"properties":{"noteIndex":0},"schema":"https://github.com/citation-style-language/schema/raw/master/csl-citation.json"}</w:instrText>
      </w:r>
      <w:r w:rsidR="00406C86" w:rsidRPr="00920632">
        <w:fldChar w:fldCharType="separate"/>
      </w:r>
      <w:r w:rsidR="004736A9" w:rsidRPr="00920632">
        <w:rPr>
          <w:noProof/>
        </w:rPr>
        <w:t>[10–13]</w:t>
      </w:r>
      <w:r w:rsidR="00406C86" w:rsidRPr="00920632">
        <w:fldChar w:fldCharType="end"/>
      </w:r>
      <w:r w:rsidR="00224C0F" w:rsidRPr="00920632">
        <w:t>.</w:t>
      </w:r>
    </w:p>
    <w:p w14:paraId="118CBD6D" w14:textId="77777777" w:rsidR="0071375C" w:rsidRDefault="0071375C" w:rsidP="00426E2F">
      <w:pPr>
        <w:pStyle w:val="TAMainText"/>
        <w:spacing w:after="240" w:line="360" w:lineRule="auto"/>
        <w:ind w:firstLine="0"/>
        <w:jc w:val="center"/>
        <w:rPr>
          <w:rFonts w:ascii="Times New Roman" w:hAnsi="Times New Roman"/>
          <w:b/>
          <w:bCs/>
          <w:szCs w:val="24"/>
        </w:rPr>
      </w:pPr>
      <w:bookmarkStart w:id="5" w:name="_Hlk122199636"/>
    </w:p>
    <w:p w14:paraId="6A332C94" w14:textId="0A0F8C79" w:rsidR="00426E2F" w:rsidRPr="00920632" w:rsidRDefault="000D6BD5" w:rsidP="00426E2F">
      <w:pPr>
        <w:pStyle w:val="TAMainText"/>
        <w:spacing w:after="240" w:line="360" w:lineRule="auto"/>
        <w:ind w:firstLine="0"/>
        <w:jc w:val="center"/>
        <w:rPr>
          <w:rFonts w:ascii="Times New Roman" w:hAnsi="Times New Roman"/>
          <w:b/>
          <w:bCs/>
        </w:rPr>
      </w:pPr>
      <w:r w:rsidRPr="00920632">
        <w:rPr>
          <w:rFonts w:ascii="Times New Roman" w:hAnsi="Times New Roman"/>
          <w:b/>
          <w:bCs/>
          <w:szCs w:val="24"/>
        </w:rPr>
        <w:t>Table S</w:t>
      </w:r>
      <w:r w:rsidR="00C17C67" w:rsidRPr="00920632">
        <w:rPr>
          <w:rFonts w:ascii="Times New Roman" w:hAnsi="Times New Roman"/>
          <w:b/>
          <w:bCs/>
          <w:szCs w:val="24"/>
        </w:rPr>
        <w:t>2</w:t>
      </w:r>
      <w:bookmarkEnd w:id="5"/>
    </w:p>
    <w:p w14:paraId="1C10CAC4" w14:textId="49FF8236" w:rsidR="00DF79FA" w:rsidRPr="00920632" w:rsidRDefault="000D6BD5" w:rsidP="00426E2F">
      <w:pPr>
        <w:pStyle w:val="TAMainText"/>
        <w:spacing w:after="240" w:line="360" w:lineRule="auto"/>
        <w:ind w:firstLine="0"/>
        <w:jc w:val="center"/>
        <w:rPr>
          <w:rFonts w:ascii="Times New Roman" w:hAnsi="Times New Roman"/>
          <w:b/>
          <w:bCs/>
        </w:rPr>
      </w:pPr>
      <w:r w:rsidRPr="00920632">
        <w:rPr>
          <w:rFonts w:ascii="Times New Roman" w:hAnsi="Times New Roman"/>
          <w:b/>
          <w:bCs/>
          <w:szCs w:val="24"/>
        </w:rPr>
        <w:t>Table S</w:t>
      </w:r>
      <w:r w:rsidR="00274B37" w:rsidRPr="00920632">
        <w:rPr>
          <w:rFonts w:ascii="Times New Roman" w:hAnsi="Times New Roman"/>
          <w:b/>
          <w:bCs/>
          <w:szCs w:val="24"/>
        </w:rPr>
        <w:t>3</w:t>
      </w:r>
    </w:p>
    <w:p w14:paraId="5A3C5BDD" w14:textId="77777777" w:rsidR="00E340F0" w:rsidRPr="00920632" w:rsidRDefault="00E340F0" w:rsidP="0094056E">
      <w:pPr>
        <w:spacing w:after="0" w:line="360" w:lineRule="auto"/>
        <w:jc w:val="left"/>
        <w:rPr>
          <w:b/>
          <w:bCs/>
        </w:rPr>
      </w:pPr>
    </w:p>
    <w:p w14:paraId="4989214F" w14:textId="75D04400" w:rsidR="001E54F6" w:rsidRPr="00920632" w:rsidRDefault="00446C75" w:rsidP="00743997">
      <w:pPr>
        <w:spacing w:line="276" w:lineRule="auto"/>
        <w:jc w:val="left"/>
        <w:rPr>
          <w:b/>
          <w:bCs/>
        </w:rPr>
      </w:pPr>
      <w:r w:rsidRPr="00920632">
        <w:rPr>
          <w:b/>
          <w:bCs/>
        </w:rPr>
        <w:t xml:space="preserve">References </w:t>
      </w:r>
    </w:p>
    <w:p w14:paraId="1953C4BF" w14:textId="6E1C1B0C" w:rsidR="007F7849" w:rsidRPr="007F7849" w:rsidRDefault="001E54F6" w:rsidP="007F7849">
      <w:pPr>
        <w:widowControl w:val="0"/>
        <w:autoSpaceDE w:val="0"/>
        <w:autoSpaceDN w:val="0"/>
        <w:adjustRightInd w:val="0"/>
        <w:ind w:left="640" w:hanging="640"/>
        <w:rPr>
          <w:rFonts w:cs="Times"/>
          <w:noProof/>
          <w:szCs w:val="24"/>
        </w:rPr>
      </w:pPr>
      <w:r w:rsidRPr="00920632">
        <w:fldChar w:fldCharType="begin" w:fldLock="1"/>
      </w:r>
      <w:r w:rsidRPr="00920632">
        <w:instrText xml:space="preserve">ADDIN Mendeley Bibliography CSL_BIBLIOGRAPHY </w:instrText>
      </w:r>
      <w:r w:rsidRPr="00920632">
        <w:fldChar w:fldCharType="separate"/>
      </w:r>
      <w:r w:rsidR="007F7849" w:rsidRPr="007F7849">
        <w:rPr>
          <w:rFonts w:cs="Times"/>
          <w:noProof/>
          <w:szCs w:val="24"/>
        </w:rPr>
        <w:t>1</w:t>
      </w:r>
      <w:r w:rsidR="007F7849" w:rsidRPr="007F7849">
        <w:rPr>
          <w:rFonts w:cs="Times"/>
          <w:noProof/>
          <w:szCs w:val="24"/>
        </w:rPr>
        <w:tab/>
        <w:t xml:space="preserve">Zhou J, Zhao WY, Ma X </w:t>
      </w:r>
      <w:r w:rsidR="007F7849" w:rsidRPr="007F7849">
        <w:rPr>
          <w:rFonts w:cs="Times"/>
          <w:i/>
          <w:iCs/>
          <w:noProof/>
          <w:szCs w:val="24"/>
        </w:rPr>
        <w:t>et al.</w:t>
      </w:r>
      <w:r w:rsidR="007F7849" w:rsidRPr="007F7849">
        <w:rPr>
          <w:rFonts w:cs="Times"/>
          <w:noProof/>
          <w:szCs w:val="24"/>
        </w:rPr>
        <w:t xml:space="preserve"> The anticancer efficacy of paclitaxel liposomes modified with mitochondrial targeting conjugate in resistant lung cancer. </w:t>
      </w:r>
      <w:r w:rsidR="007F7849" w:rsidRPr="007F7849">
        <w:rPr>
          <w:rFonts w:cs="Times"/>
          <w:i/>
          <w:iCs/>
          <w:noProof/>
          <w:szCs w:val="24"/>
        </w:rPr>
        <w:t>Biomaterials</w:t>
      </w:r>
      <w:r w:rsidR="007F7849" w:rsidRPr="007F7849">
        <w:rPr>
          <w:rFonts w:cs="Times"/>
          <w:noProof/>
          <w:szCs w:val="24"/>
        </w:rPr>
        <w:t xml:space="preserve"> 34(14), 3626–3638 (2013).</w:t>
      </w:r>
    </w:p>
    <w:p w14:paraId="3DAFA5E2" w14:textId="77777777" w:rsidR="007F7849" w:rsidRPr="007F7849" w:rsidRDefault="007F7849" w:rsidP="007F7849">
      <w:pPr>
        <w:widowControl w:val="0"/>
        <w:autoSpaceDE w:val="0"/>
        <w:autoSpaceDN w:val="0"/>
        <w:adjustRightInd w:val="0"/>
        <w:ind w:left="640" w:hanging="640"/>
        <w:rPr>
          <w:rFonts w:cs="Times"/>
          <w:noProof/>
          <w:szCs w:val="24"/>
        </w:rPr>
      </w:pPr>
      <w:r w:rsidRPr="007F7849">
        <w:rPr>
          <w:rFonts w:cs="Times"/>
          <w:noProof/>
          <w:szCs w:val="24"/>
        </w:rPr>
        <w:t>2</w:t>
      </w:r>
      <w:r w:rsidRPr="007F7849">
        <w:rPr>
          <w:rFonts w:cs="Times"/>
          <w:noProof/>
          <w:szCs w:val="24"/>
        </w:rPr>
        <w:tab/>
        <w:t xml:space="preserve">Zhang Y, Zhang C, Chen J </w:t>
      </w:r>
      <w:r w:rsidRPr="007F7849">
        <w:rPr>
          <w:rFonts w:cs="Times"/>
          <w:i/>
          <w:iCs/>
          <w:noProof/>
          <w:szCs w:val="24"/>
        </w:rPr>
        <w:t>et al.</w:t>
      </w:r>
      <w:r w:rsidRPr="007F7849">
        <w:rPr>
          <w:rFonts w:cs="Times"/>
          <w:noProof/>
          <w:szCs w:val="24"/>
        </w:rPr>
        <w:t xml:space="preserve"> Trackable Mitochondria-Targeting Nanomicellar Loaded with Doxorubicin for Overcoming Drug Resistance. </w:t>
      </w:r>
      <w:r w:rsidRPr="007F7849">
        <w:rPr>
          <w:rFonts w:cs="Times"/>
          <w:i/>
          <w:iCs/>
          <w:noProof/>
          <w:szCs w:val="24"/>
        </w:rPr>
        <w:t>ACS Appl. Mater. Interfaces</w:t>
      </w:r>
      <w:r w:rsidRPr="007F7849">
        <w:rPr>
          <w:rFonts w:cs="Times"/>
          <w:noProof/>
          <w:szCs w:val="24"/>
        </w:rPr>
        <w:t xml:space="preserve"> 9(30), 25152–25163 (2017).</w:t>
      </w:r>
    </w:p>
    <w:p w14:paraId="167BA86B" w14:textId="77777777" w:rsidR="007F7849" w:rsidRPr="007F7849" w:rsidRDefault="007F7849" w:rsidP="007F7849">
      <w:pPr>
        <w:widowControl w:val="0"/>
        <w:autoSpaceDE w:val="0"/>
        <w:autoSpaceDN w:val="0"/>
        <w:adjustRightInd w:val="0"/>
        <w:ind w:left="640" w:hanging="640"/>
        <w:rPr>
          <w:rFonts w:cs="Times"/>
          <w:noProof/>
          <w:szCs w:val="24"/>
        </w:rPr>
      </w:pPr>
      <w:r w:rsidRPr="007F7849">
        <w:rPr>
          <w:rFonts w:cs="Times"/>
          <w:noProof/>
          <w:szCs w:val="24"/>
        </w:rPr>
        <w:t>3</w:t>
      </w:r>
      <w:r w:rsidRPr="007F7849">
        <w:rPr>
          <w:rFonts w:cs="Times"/>
          <w:noProof/>
          <w:szCs w:val="24"/>
        </w:rPr>
        <w:tab/>
        <w:t xml:space="preserve">Pawar A, Patel R, Arulmozhi S, Bothiraja C. D-α-Tocopheryl polyethylene glycol 1000 succinate conjugated folic acid nanomicelles: Towards enhanced bioavailability, stability, safety, prolonged drug release and synergized anticancer effect of plumbagin. </w:t>
      </w:r>
      <w:r w:rsidRPr="007F7849">
        <w:rPr>
          <w:rFonts w:cs="Times"/>
          <w:i/>
          <w:iCs/>
          <w:noProof/>
          <w:szCs w:val="24"/>
        </w:rPr>
        <w:t>RSC Adv.</w:t>
      </w:r>
      <w:r w:rsidRPr="007F7849">
        <w:rPr>
          <w:rFonts w:cs="Times"/>
          <w:noProof/>
          <w:szCs w:val="24"/>
        </w:rPr>
        <w:t xml:space="preserve"> 6(81), 78106–78121 (2016).</w:t>
      </w:r>
    </w:p>
    <w:p w14:paraId="20F8D821" w14:textId="77777777" w:rsidR="007F7849" w:rsidRPr="007F7849" w:rsidRDefault="007F7849" w:rsidP="007F7849">
      <w:pPr>
        <w:widowControl w:val="0"/>
        <w:autoSpaceDE w:val="0"/>
        <w:autoSpaceDN w:val="0"/>
        <w:adjustRightInd w:val="0"/>
        <w:ind w:left="640" w:hanging="640"/>
        <w:rPr>
          <w:rFonts w:cs="Times"/>
          <w:noProof/>
          <w:szCs w:val="24"/>
        </w:rPr>
      </w:pPr>
      <w:r w:rsidRPr="007F7849">
        <w:rPr>
          <w:rFonts w:cs="Times"/>
          <w:noProof/>
          <w:szCs w:val="24"/>
        </w:rPr>
        <w:t>4</w:t>
      </w:r>
      <w:r w:rsidRPr="007F7849">
        <w:rPr>
          <w:rFonts w:cs="Times"/>
          <w:noProof/>
          <w:szCs w:val="24"/>
        </w:rPr>
        <w:tab/>
        <w:t xml:space="preserve">Wei Z, Hao J, Yuan S </w:t>
      </w:r>
      <w:r w:rsidRPr="007F7849">
        <w:rPr>
          <w:rFonts w:cs="Times"/>
          <w:i/>
          <w:iCs/>
          <w:noProof/>
          <w:szCs w:val="24"/>
        </w:rPr>
        <w:t>et al.</w:t>
      </w:r>
      <w:r w:rsidRPr="007F7849">
        <w:rPr>
          <w:rFonts w:cs="Times"/>
          <w:noProof/>
          <w:szCs w:val="24"/>
        </w:rPr>
        <w:t xml:space="preserve"> Paclitaxel-loaded Pluronic P123/F127 mixed polymeric micelles: Formulation, optimization and in vitro characterization. </w:t>
      </w:r>
      <w:r w:rsidRPr="007F7849">
        <w:rPr>
          <w:rFonts w:cs="Times"/>
          <w:i/>
          <w:iCs/>
          <w:noProof/>
          <w:szCs w:val="24"/>
        </w:rPr>
        <w:t>Int. J. Pharm.</w:t>
      </w:r>
      <w:r w:rsidRPr="007F7849">
        <w:rPr>
          <w:rFonts w:cs="Times"/>
          <w:noProof/>
          <w:szCs w:val="24"/>
        </w:rPr>
        <w:t xml:space="preserve"> 376(1–2), 176–185 (2009).</w:t>
      </w:r>
    </w:p>
    <w:p w14:paraId="058839DE" w14:textId="77777777" w:rsidR="007F7849" w:rsidRPr="007F7849" w:rsidRDefault="007F7849" w:rsidP="007F7849">
      <w:pPr>
        <w:widowControl w:val="0"/>
        <w:autoSpaceDE w:val="0"/>
        <w:autoSpaceDN w:val="0"/>
        <w:adjustRightInd w:val="0"/>
        <w:ind w:left="640" w:hanging="640"/>
        <w:rPr>
          <w:rFonts w:cs="Times"/>
          <w:noProof/>
          <w:szCs w:val="24"/>
        </w:rPr>
      </w:pPr>
      <w:r w:rsidRPr="007F7849">
        <w:rPr>
          <w:rFonts w:cs="Times"/>
          <w:noProof/>
          <w:szCs w:val="24"/>
        </w:rPr>
        <w:t>5</w:t>
      </w:r>
      <w:r w:rsidRPr="007F7849">
        <w:rPr>
          <w:rFonts w:cs="Times"/>
          <w:noProof/>
          <w:szCs w:val="24"/>
        </w:rPr>
        <w:tab/>
        <w:t xml:space="preserve">Gaisford S, Beezer AE, Mitchell JC. Diode-array UV spectrometric evidence for cooperative interactions in binary mixtures of pluronics F77, F87, and F127. </w:t>
      </w:r>
      <w:r w:rsidRPr="007F7849">
        <w:rPr>
          <w:rFonts w:cs="Times"/>
          <w:i/>
          <w:iCs/>
          <w:noProof/>
          <w:szCs w:val="24"/>
        </w:rPr>
        <w:t>Langmuir</w:t>
      </w:r>
      <w:r w:rsidRPr="007F7849">
        <w:rPr>
          <w:rFonts w:cs="Times"/>
          <w:noProof/>
          <w:szCs w:val="24"/>
        </w:rPr>
        <w:t xml:space="preserve"> 13(10), 2606–2607 (1997).</w:t>
      </w:r>
    </w:p>
    <w:p w14:paraId="56209EE3" w14:textId="77777777" w:rsidR="007F7849" w:rsidRPr="007F7849" w:rsidRDefault="007F7849" w:rsidP="007F7849">
      <w:pPr>
        <w:widowControl w:val="0"/>
        <w:autoSpaceDE w:val="0"/>
        <w:autoSpaceDN w:val="0"/>
        <w:adjustRightInd w:val="0"/>
        <w:ind w:left="640" w:hanging="640"/>
        <w:rPr>
          <w:rFonts w:cs="Times"/>
          <w:noProof/>
          <w:szCs w:val="24"/>
        </w:rPr>
      </w:pPr>
      <w:r w:rsidRPr="007F7849">
        <w:rPr>
          <w:rFonts w:cs="Times"/>
          <w:noProof/>
          <w:szCs w:val="24"/>
        </w:rPr>
        <w:t>6</w:t>
      </w:r>
      <w:r w:rsidRPr="007F7849">
        <w:rPr>
          <w:rFonts w:cs="Times"/>
          <w:noProof/>
          <w:szCs w:val="24"/>
        </w:rPr>
        <w:tab/>
        <w:t xml:space="preserve">Alayoubi AY, Anderson JF, Satyanarayanajois SD, Sylvester PW, Nazzal S. Concurrent delivery of tocotrienols and simvastatin by lipid nanoemulsions potentiates their antitumor activity against human mammary adenocarcenoma cells. </w:t>
      </w:r>
      <w:r w:rsidRPr="007F7849">
        <w:rPr>
          <w:rFonts w:cs="Times"/>
          <w:i/>
          <w:iCs/>
          <w:noProof/>
          <w:szCs w:val="24"/>
        </w:rPr>
        <w:t>Eur. J. Pharm. Sci.</w:t>
      </w:r>
      <w:r w:rsidRPr="007F7849">
        <w:rPr>
          <w:rFonts w:cs="Times"/>
          <w:noProof/>
          <w:szCs w:val="24"/>
        </w:rPr>
        <w:t xml:space="preserve"> 48(3), 385–392 (2013).</w:t>
      </w:r>
    </w:p>
    <w:p w14:paraId="3C7C4EDF" w14:textId="77777777" w:rsidR="007F7849" w:rsidRPr="007F7849" w:rsidRDefault="007F7849" w:rsidP="007F7849">
      <w:pPr>
        <w:widowControl w:val="0"/>
        <w:autoSpaceDE w:val="0"/>
        <w:autoSpaceDN w:val="0"/>
        <w:adjustRightInd w:val="0"/>
        <w:ind w:left="640" w:hanging="640"/>
        <w:rPr>
          <w:rFonts w:cs="Times"/>
          <w:noProof/>
          <w:szCs w:val="24"/>
        </w:rPr>
      </w:pPr>
      <w:r w:rsidRPr="007F7849">
        <w:rPr>
          <w:rFonts w:cs="Times"/>
          <w:noProof/>
          <w:szCs w:val="24"/>
        </w:rPr>
        <w:lastRenderedPageBreak/>
        <w:t>7</w:t>
      </w:r>
      <w:r w:rsidRPr="007F7849">
        <w:rPr>
          <w:rFonts w:cs="Times"/>
          <w:noProof/>
          <w:szCs w:val="24"/>
        </w:rPr>
        <w:tab/>
        <w:t xml:space="preserve">Sharif HR, Williams PA, Sharif MK </w:t>
      </w:r>
      <w:r w:rsidRPr="007F7849">
        <w:rPr>
          <w:rFonts w:cs="Times"/>
          <w:i/>
          <w:iCs/>
          <w:noProof/>
          <w:szCs w:val="24"/>
        </w:rPr>
        <w:t>et al.</w:t>
      </w:r>
      <w:r w:rsidRPr="007F7849">
        <w:rPr>
          <w:rFonts w:cs="Times"/>
          <w:noProof/>
          <w:szCs w:val="24"/>
        </w:rPr>
        <w:t xml:space="preserve"> Influence of OSA-starch on the physico chemical characteristics of flax seed oil-eugenol nanoemulsions. </w:t>
      </w:r>
      <w:r w:rsidRPr="007F7849">
        <w:rPr>
          <w:rFonts w:cs="Times"/>
          <w:i/>
          <w:iCs/>
          <w:noProof/>
          <w:szCs w:val="24"/>
        </w:rPr>
        <w:t>Food Hydrocoll.</w:t>
      </w:r>
      <w:r w:rsidRPr="007F7849">
        <w:rPr>
          <w:rFonts w:cs="Times"/>
          <w:noProof/>
          <w:szCs w:val="24"/>
        </w:rPr>
        <w:t xml:space="preserve"> 66, 365–377 (2017).</w:t>
      </w:r>
    </w:p>
    <w:p w14:paraId="07EA83C7" w14:textId="77777777" w:rsidR="007F7849" w:rsidRPr="007F7849" w:rsidRDefault="007F7849" w:rsidP="007F7849">
      <w:pPr>
        <w:widowControl w:val="0"/>
        <w:autoSpaceDE w:val="0"/>
        <w:autoSpaceDN w:val="0"/>
        <w:adjustRightInd w:val="0"/>
        <w:ind w:left="640" w:hanging="640"/>
        <w:rPr>
          <w:rFonts w:cs="Times"/>
          <w:noProof/>
          <w:szCs w:val="24"/>
        </w:rPr>
      </w:pPr>
      <w:r w:rsidRPr="007F7849">
        <w:rPr>
          <w:rFonts w:cs="Times"/>
          <w:noProof/>
          <w:szCs w:val="24"/>
        </w:rPr>
        <w:t>8</w:t>
      </w:r>
      <w:r w:rsidRPr="007F7849">
        <w:rPr>
          <w:rFonts w:cs="Times"/>
          <w:noProof/>
          <w:szCs w:val="24"/>
        </w:rPr>
        <w:tab/>
        <w:t xml:space="preserve">VK P, SB P, Y S </w:t>
      </w:r>
      <w:r w:rsidRPr="007F7849">
        <w:rPr>
          <w:rFonts w:cs="Times"/>
          <w:i/>
          <w:iCs/>
          <w:noProof/>
          <w:szCs w:val="24"/>
        </w:rPr>
        <w:t>et al.</w:t>
      </w:r>
      <w:r w:rsidRPr="007F7849">
        <w:rPr>
          <w:rFonts w:cs="Times"/>
          <w:noProof/>
          <w:szCs w:val="24"/>
        </w:rPr>
        <w:t xml:space="preserve"> Immunotherapeutic vitamin e nanoemulsion synergies the antiproliferative activity of paclitaxel in breast cancer cells via modulating Th1 and Th2 immune response. </w:t>
      </w:r>
      <w:r w:rsidRPr="007F7849">
        <w:rPr>
          <w:rFonts w:cs="Times"/>
          <w:i/>
          <w:iCs/>
          <w:noProof/>
          <w:szCs w:val="24"/>
        </w:rPr>
        <w:t>J. Control. Release</w:t>
      </w:r>
      <w:r w:rsidRPr="007F7849">
        <w:rPr>
          <w:rFonts w:cs="Times"/>
          <w:noProof/>
          <w:szCs w:val="24"/>
        </w:rPr>
        <w:t xml:space="preserve"> 196(4), 295–306 (2014).</w:t>
      </w:r>
    </w:p>
    <w:p w14:paraId="4ACE16B3" w14:textId="77777777" w:rsidR="007F7849" w:rsidRPr="007F7849" w:rsidRDefault="007F7849" w:rsidP="007F7849">
      <w:pPr>
        <w:widowControl w:val="0"/>
        <w:autoSpaceDE w:val="0"/>
        <w:autoSpaceDN w:val="0"/>
        <w:adjustRightInd w:val="0"/>
        <w:ind w:left="640" w:hanging="640"/>
        <w:rPr>
          <w:rFonts w:cs="Times"/>
          <w:noProof/>
          <w:szCs w:val="24"/>
        </w:rPr>
      </w:pPr>
      <w:r w:rsidRPr="007F7849">
        <w:rPr>
          <w:rFonts w:cs="Times"/>
          <w:noProof/>
          <w:szCs w:val="24"/>
        </w:rPr>
        <w:t>9</w:t>
      </w:r>
      <w:r w:rsidRPr="007F7849">
        <w:rPr>
          <w:rFonts w:cs="Times"/>
          <w:noProof/>
          <w:szCs w:val="24"/>
        </w:rPr>
        <w:tab/>
        <w:t xml:space="preserve">Kim JE, Park YJ. High paclitaxel-loaded and tumor cell-targeting hyaluronan-coated nanoemulsions. </w:t>
      </w:r>
      <w:r w:rsidRPr="007F7849">
        <w:rPr>
          <w:rFonts w:cs="Times"/>
          <w:i/>
          <w:iCs/>
          <w:noProof/>
          <w:szCs w:val="24"/>
        </w:rPr>
        <w:t>Colloids Surfaces B Biointerfaces</w:t>
      </w:r>
      <w:r w:rsidRPr="007F7849">
        <w:rPr>
          <w:rFonts w:cs="Times"/>
          <w:noProof/>
          <w:szCs w:val="24"/>
        </w:rPr>
        <w:t xml:space="preserve"> 150, 362–372 (2017).</w:t>
      </w:r>
    </w:p>
    <w:p w14:paraId="5F49ADB6" w14:textId="77777777" w:rsidR="007F7849" w:rsidRPr="007F7849" w:rsidRDefault="007F7849" w:rsidP="007F7849">
      <w:pPr>
        <w:widowControl w:val="0"/>
        <w:autoSpaceDE w:val="0"/>
        <w:autoSpaceDN w:val="0"/>
        <w:adjustRightInd w:val="0"/>
        <w:ind w:left="640" w:hanging="640"/>
        <w:rPr>
          <w:rFonts w:cs="Times"/>
          <w:noProof/>
          <w:szCs w:val="24"/>
        </w:rPr>
      </w:pPr>
      <w:r w:rsidRPr="007F7849">
        <w:rPr>
          <w:rFonts w:cs="Times"/>
          <w:noProof/>
          <w:szCs w:val="24"/>
        </w:rPr>
        <w:t>10</w:t>
      </w:r>
      <w:r w:rsidRPr="007F7849">
        <w:rPr>
          <w:rFonts w:cs="Times"/>
          <w:noProof/>
          <w:szCs w:val="24"/>
        </w:rPr>
        <w:tab/>
        <w:t xml:space="preserve">Pandey G, Mittapelly N, Valicherla GR </w:t>
      </w:r>
      <w:r w:rsidRPr="007F7849">
        <w:rPr>
          <w:rFonts w:cs="Times"/>
          <w:i/>
          <w:iCs/>
          <w:noProof/>
          <w:szCs w:val="24"/>
        </w:rPr>
        <w:t>et al.</w:t>
      </w:r>
      <w:r w:rsidRPr="007F7849">
        <w:rPr>
          <w:rFonts w:cs="Times"/>
          <w:noProof/>
          <w:szCs w:val="24"/>
        </w:rPr>
        <w:t xml:space="preserve"> P-gp modulatory acetyl-11-keto-β-boswellic acid based nanoemulsified carrier system for augmented oral chemotherapy of docetaxel. </w:t>
      </w:r>
      <w:r w:rsidRPr="007F7849">
        <w:rPr>
          <w:rFonts w:cs="Times"/>
          <w:i/>
          <w:iCs/>
          <w:noProof/>
          <w:szCs w:val="24"/>
        </w:rPr>
        <w:t>Colloids Surfaces B Biointerfaces</w:t>
      </w:r>
      <w:r w:rsidRPr="007F7849">
        <w:rPr>
          <w:rFonts w:cs="Times"/>
          <w:noProof/>
          <w:szCs w:val="24"/>
        </w:rPr>
        <w:t xml:space="preserve"> 155, 276–286 (2017).</w:t>
      </w:r>
    </w:p>
    <w:p w14:paraId="289A1368" w14:textId="77777777" w:rsidR="007F7849" w:rsidRPr="007F7849" w:rsidRDefault="007F7849" w:rsidP="007F7849">
      <w:pPr>
        <w:widowControl w:val="0"/>
        <w:autoSpaceDE w:val="0"/>
        <w:autoSpaceDN w:val="0"/>
        <w:adjustRightInd w:val="0"/>
        <w:ind w:left="640" w:hanging="640"/>
        <w:rPr>
          <w:rFonts w:cs="Times"/>
          <w:noProof/>
          <w:szCs w:val="24"/>
        </w:rPr>
      </w:pPr>
      <w:r w:rsidRPr="007F7849">
        <w:rPr>
          <w:rFonts w:cs="Times"/>
          <w:noProof/>
          <w:szCs w:val="24"/>
        </w:rPr>
        <w:t>11</w:t>
      </w:r>
      <w:r w:rsidRPr="007F7849">
        <w:rPr>
          <w:rFonts w:cs="Times"/>
          <w:noProof/>
          <w:szCs w:val="24"/>
        </w:rPr>
        <w:tab/>
        <w:t xml:space="preserve">Singh Y, Viswanadham KKDR, Pawar VK </w:t>
      </w:r>
      <w:r w:rsidRPr="007F7849">
        <w:rPr>
          <w:rFonts w:cs="Times"/>
          <w:i/>
          <w:iCs/>
          <w:noProof/>
          <w:szCs w:val="24"/>
        </w:rPr>
        <w:t>et al.</w:t>
      </w:r>
      <w:r w:rsidRPr="007F7849">
        <w:rPr>
          <w:rFonts w:cs="Times"/>
          <w:noProof/>
          <w:szCs w:val="24"/>
        </w:rPr>
        <w:t xml:space="preserve"> Induction of Mitochondrial Cell Death and Reversal of Anticancer Drug Resistance via Nanocarriers Composed of a Triphenylphosphonium Derivative of Tocopheryl Polyethylene Glycol Succinate. </w:t>
      </w:r>
      <w:r w:rsidRPr="007F7849">
        <w:rPr>
          <w:rFonts w:cs="Times"/>
          <w:i/>
          <w:iCs/>
          <w:noProof/>
          <w:szCs w:val="24"/>
        </w:rPr>
        <w:t>Mol. Pharm.</w:t>
      </w:r>
      <w:r w:rsidRPr="007F7849">
        <w:rPr>
          <w:rFonts w:cs="Times"/>
          <w:noProof/>
          <w:szCs w:val="24"/>
        </w:rPr>
        <w:t xml:space="preserve"> 16(9), 3744–3759 (2019).</w:t>
      </w:r>
    </w:p>
    <w:p w14:paraId="39E75306" w14:textId="77777777" w:rsidR="007F7849" w:rsidRPr="007F7849" w:rsidRDefault="007F7849" w:rsidP="007F7849">
      <w:pPr>
        <w:widowControl w:val="0"/>
        <w:autoSpaceDE w:val="0"/>
        <w:autoSpaceDN w:val="0"/>
        <w:adjustRightInd w:val="0"/>
        <w:ind w:left="640" w:hanging="640"/>
        <w:rPr>
          <w:rFonts w:cs="Times"/>
          <w:noProof/>
          <w:szCs w:val="24"/>
        </w:rPr>
      </w:pPr>
      <w:r w:rsidRPr="007F7849">
        <w:rPr>
          <w:rFonts w:cs="Times"/>
          <w:noProof/>
          <w:szCs w:val="24"/>
        </w:rPr>
        <w:t>12</w:t>
      </w:r>
      <w:r w:rsidRPr="007F7849">
        <w:rPr>
          <w:rFonts w:cs="Times"/>
          <w:noProof/>
          <w:szCs w:val="24"/>
        </w:rPr>
        <w:tab/>
        <w:t xml:space="preserve">Singh Y, Durga Rao Viswanadham KK, Kumar Jajoriya A </w:t>
      </w:r>
      <w:r w:rsidRPr="007F7849">
        <w:rPr>
          <w:rFonts w:cs="Times"/>
          <w:i/>
          <w:iCs/>
          <w:noProof/>
          <w:szCs w:val="24"/>
        </w:rPr>
        <w:t>et al.</w:t>
      </w:r>
      <w:r w:rsidRPr="007F7849">
        <w:rPr>
          <w:rFonts w:cs="Times"/>
          <w:noProof/>
          <w:szCs w:val="24"/>
        </w:rPr>
        <w:t xml:space="preserve"> Click Biotinylation of PLGA Template for Biotin Receptor Oriented Delivery of Doxorubicin Hydrochloride in 4T1 Cell-Induced Breast Cancer. </w:t>
      </w:r>
      <w:r w:rsidRPr="007F7849">
        <w:rPr>
          <w:rFonts w:cs="Times"/>
          <w:i/>
          <w:iCs/>
          <w:noProof/>
          <w:szCs w:val="24"/>
        </w:rPr>
        <w:t>Mol. Pharm.</w:t>
      </w:r>
      <w:r w:rsidRPr="007F7849">
        <w:rPr>
          <w:rFonts w:cs="Times"/>
          <w:noProof/>
          <w:szCs w:val="24"/>
        </w:rPr>
        <w:t xml:space="preserve"> 14(8), 2749–2765 (2017).</w:t>
      </w:r>
    </w:p>
    <w:p w14:paraId="7A68E9A3" w14:textId="77777777" w:rsidR="007F7849" w:rsidRPr="007F7849" w:rsidRDefault="007F7849" w:rsidP="007F7849">
      <w:pPr>
        <w:widowControl w:val="0"/>
        <w:autoSpaceDE w:val="0"/>
        <w:autoSpaceDN w:val="0"/>
        <w:adjustRightInd w:val="0"/>
        <w:ind w:left="640" w:hanging="640"/>
        <w:rPr>
          <w:rFonts w:cs="Times"/>
          <w:noProof/>
        </w:rPr>
      </w:pPr>
      <w:r w:rsidRPr="007F7849">
        <w:rPr>
          <w:rFonts w:cs="Times"/>
          <w:noProof/>
          <w:szCs w:val="24"/>
        </w:rPr>
        <w:t>13</w:t>
      </w:r>
      <w:r w:rsidRPr="007F7849">
        <w:rPr>
          <w:rFonts w:cs="Times"/>
          <w:noProof/>
          <w:szCs w:val="24"/>
        </w:rPr>
        <w:tab/>
        <w:t xml:space="preserve">Ciccolini J, Catalin J, Blachon MF, Durand A. Rapid high-performance liquid chromatographic determination of docetaxel (Taxotere) in plasma using liquid-liquid extraction. </w:t>
      </w:r>
      <w:r w:rsidRPr="007F7849">
        <w:rPr>
          <w:rFonts w:cs="Times"/>
          <w:i/>
          <w:iCs/>
          <w:noProof/>
          <w:szCs w:val="24"/>
        </w:rPr>
        <w:t>J. Chromatogr. B Biomed. Sci. Appl.</w:t>
      </w:r>
      <w:r w:rsidRPr="007F7849">
        <w:rPr>
          <w:rFonts w:cs="Times"/>
          <w:noProof/>
          <w:szCs w:val="24"/>
        </w:rPr>
        <w:t xml:space="preserve"> 759(2), 299–306 (2001).</w:t>
      </w:r>
    </w:p>
    <w:p w14:paraId="030093E9" w14:textId="6724A415" w:rsidR="00043D0E" w:rsidRPr="00B942C8" w:rsidRDefault="001E54F6" w:rsidP="00743997">
      <w:pPr>
        <w:pStyle w:val="VAFigureCaption"/>
        <w:spacing w:after="0" w:line="276" w:lineRule="auto"/>
        <w:rPr>
          <w:rFonts w:ascii="Times New Roman" w:hAnsi="Times New Roman"/>
        </w:rPr>
      </w:pPr>
      <w:r w:rsidRPr="00920632">
        <w:fldChar w:fldCharType="end"/>
      </w:r>
      <w:r w:rsidR="00043D0E" w:rsidRPr="00B942C8">
        <w:rPr>
          <w:rFonts w:ascii="Times New Roman" w:hAnsi="Times New Roman"/>
          <w:b/>
          <w:bCs/>
          <w:lang w:bidi="hi-IN"/>
        </w:rPr>
        <w:t xml:space="preserve"> </w:t>
      </w:r>
    </w:p>
    <w:p w14:paraId="09F4437B" w14:textId="57C6C281" w:rsidR="007C7DC8" w:rsidRPr="00B942C8" w:rsidRDefault="007C7DC8" w:rsidP="00043D0E">
      <w:pPr>
        <w:pStyle w:val="VAFigureCaption"/>
        <w:spacing w:line="360" w:lineRule="auto"/>
        <w:rPr>
          <w:rFonts w:ascii="Times New Roman" w:hAnsi="Times New Roman"/>
          <w:b/>
          <w:bCs/>
        </w:rPr>
      </w:pPr>
    </w:p>
    <w:p w14:paraId="7F20B4B0" w14:textId="77777777" w:rsidR="007C7DC8" w:rsidRPr="00B942C8" w:rsidRDefault="007C7DC8" w:rsidP="007C7DC8"/>
    <w:sectPr w:rsidR="007C7DC8" w:rsidRPr="00B942C8" w:rsidSect="000B5610">
      <w:footerReference w:type="even" r:id="rId8"/>
      <w:footerReference w:type="default" r:id="rId9"/>
      <w:type w:val="continuous"/>
      <w:pgSz w:w="12240" w:h="15840"/>
      <w:pgMar w:top="1440" w:right="1440" w:bottom="1440" w:left="1440" w:header="0" w:footer="0" w:gutter="0"/>
      <w:cols w:space="47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9F219" w14:textId="77777777" w:rsidR="00DA30BF" w:rsidRDefault="00DA30BF">
      <w:r>
        <w:separator/>
      </w:r>
    </w:p>
  </w:endnote>
  <w:endnote w:type="continuationSeparator" w:id="0">
    <w:p w14:paraId="38546D8C" w14:textId="77777777" w:rsidR="00DA30BF" w:rsidRDefault="00DA3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no Pro">
    <w:altName w:val="Times New Roman"/>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84057" w14:textId="77777777" w:rsidR="00C249EE" w:rsidRDefault="00C249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F691F2C" w14:textId="77777777" w:rsidR="00C249EE" w:rsidRDefault="00C249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CF7B1" w14:textId="00CCBAD2" w:rsidR="00C249EE" w:rsidRDefault="00C249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11C14">
      <w:rPr>
        <w:rStyle w:val="PageNumber"/>
        <w:noProof/>
      </w:rPr>
      <w:t>7</w:t>
    </w:r>
    <w:r>
      <w:rPr>
        <w:rStyle w:val="PageNumber"/>
      </w:rPr>
      <w:fldChar w:fldCharType="end"/>
    </w:r>
  </w:p>
  <w:p w14:paraId="79E70123" w14:textId="77777777" w:rsidR="00C249EE" w:rsidRDefault="00C249E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688A0" w14:textId="77777777" w:rsidR="00DA30BF" w:rsidRDefault="00DA30BF">
      <w:r>
        <w:separator/>
      </w:r>
    </w:p>
  </w:footnote>
  <w:footnote w:type="continuationSeparator" w:id="0">
    <w:p w14:paraId="0C38CE4B" w14:textId="77777777" w:rsidR="00DA30BF" w:rsidRDefault="00DA30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B62CE"/>
    <w:multiLevelType w:val="multilevel"/>
    <w:tmpl w:val="98E63D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B0D4588"/>
    <w:multiLevelType w:val="hybridMultilevel"/>
    <w:tmpl w:val="56DCB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C86632"/>
    <w:multiLevelType w:val="hybridMultilevel"/>
    <w:tmpl w:val="2CEA800E"/>
    <w:lvl w:ilvl="0" w:tplc="37367B38">
      <w:start w:val="1"/>
      <w:numFmt w:val="decimal"/>
      <w:lvlText w:val="(%1)"/>
      <w:lvlJc w:val="left"/>
      <w:pPr>
        <w:ind w:left="720" w:hanging="360"/>
      </w:pPr>
      <w:rPr>
        <w:rFonts w:ascii="Times" w:eastAsia="Times New Roman" w:hAnsi="Times" w:cs="Tim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6D3F9A"/>
    <w:multiLevelType w:val="singleLevel"/>
    <w:tmpl w:val="8BC469AA"/>
    <w:lvl w:ilvl="0">
      <w:start w:val="1"/>
      <w:numFmt w:val="lowerLetter"/>
      <w:lvlText w:val="%1."/>
      <w:lvlJc w:val="left"/>
      <w:pPr>
        <w:tabs>
          <w:tab w:val="num" w:pos="720"/>
        </w:tabs>
        <w:ind w:left="720" w:hanging="360"/>
      </w:pPr>
      <w:rPr>
        <w:rFonts w:hint="default"/>
      </w:rPr>
    </w:lvl>
  </w:abstractNum>
  <w:abstractNum w:abstractNumId="4" w15:restartNumberingAfterBreak="0">
    <w:nsid w:val="34FD0C72"/>
    <w:multiLevelType w:val="singleLevel"/>
    <w:tmpl w:val="0409000F"/>
    <w:lvl w:ilvl="0">
      <w:start w:val="1"/>
      <w:numFmt w:val="decimal"/>
      <w:lvlText w:val="%1."/>
      <w:lvlJc w:val="left"/>
      <w:pPr>
        <w:tabs>
          <w:tab w:val="num" w:pos="360"/>
        </w:tabs>
        <w:ind w:left="360" w:hanging="360"/>
      </w:pPr>
      <w:rPr>
        <w:rFonts w:hint="default"/>
      </w:rPr>
    </w:lvl>
  </w:abstractNum>
  <w:abstractNum w:abstractNumId="5" w15:restartNumberingAfterBreak="0">
    <w:nsid w:val="3762623B"/>
    <w:multiLevelType w:val="singleLevel"/>
    <w:tmpl w:val="0409000F"/>
    <w:lvl w:ilvl="0">
      <w:start w:val="1"/>
      <w:numFmt w:val="decimal"/>
      <w:lvlText w:val="%1."/>
      <w:lvlJc w:val="left"/>
      <w:pPr>
        <w:tabs>
          <w:tab w:val="num" w:pos="360"/>
        </w:tabs>
        <w:ind w:left="360" w:hanging="360"/>
      </w:pPr>
      <w:rPr>
        <w:rFonts w:hint="default"/>
      </w:rPr>
    </w:lvl>
  </w:abstractNum>
  <w:abstractNum w:abstractNumId="6" w15:restartNumberingAfterBreak="0">
    <w:nsid w:val="384622AB"/>
    <w:multiLevelType w:val="singleLevel"/>
    <w:tmpl w:val="6FF0DD10"/>
    <w:lvl w:ilvl="0">
      <w:start w:val="1"/>
      <w:numFmt w:val="lowerLetter"/>
      <w:lvlText w:val="%1."/>
      <w:lvlJc w:val="left"/>
      <w:pPr>
        <w:tabs>
          <w:tab w:val="num" w:pos="922"/>
        </w:tabs>
        <w:ind w:left="922" w:hanging="360"/>
      </w:pPr>
      <w:rPr>
        <w:rFonts w:hint="default"/>
      </w:rPr>
    </w:lvl>
  </w:abstractNum>
  <w:abstractNum w:abstractNumId="7" w15:restartNumberingAfterBreak="0">
    <w:nsid w:val="3E7A7E0C"/>
    <w:multiLevelType w:val="singleLevel"/>
    <w:tmpl w:val="E32C900E"/>
    <w:lvl w:ilvl="0">
      <w:start w:val="1"/>
      <w:numFmt w:val="decimal"/>
      <w:lvlText w:val="%1."/>
      <w:lvlJc w:val="left"/>
      <w:pPr>
        <w:tabs>
          <w:tab w:val="num" w:pos="562"/>
        </w:tabs>
        <w:ind w:left="562" w:hanging="360"/>
      </w:pPr>
      <w:rPr>
        <w:rFonts w:hint="default"/>
      </w:rPr>
    </w:lvl>
  </w:abstractNum>
  <w:abstractNum w:abstractNumId="8" w15:restartNumberingAfterBreak="0">
    <w:nsid w:val="41DB2E3C"/>
    <w:multiLevelType w:val="singleLevel"/>
    <w:tmpl w:val="E5E28CB0"/>
    <w:lvl w:ilvl="0">
      <w:start w:val="1"/>
      <w:numFmt w:val="lowerLetter"/>
      <w:lvlText w:val="%1."/>
      <w:lvlJc w:val="left"/>
      <w:pPr>
        <w:tabs>
          <w:tab w:val="num" w:pos="1080"/>
        </w:tabs>
        <w:ind w:left="1080" w:hanging="360"/>
      </w:pPr>
      <w:rPr>
        <w:rFonts w:hint="default"/>
      </w:rPr>
    </w:lvl>
  </w:abstractNum>
  <w:abstractNum w:abstractNumId="9" w15:restartNumberingAfterBreak="0">
    <w:nsid w:val="76D7729E"/>
    <w:multiLevelType w:val="hybridMultilevel"/>
    <w:tmpl w:val="4CDC1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5873622">
    <w:abstractNumId w:val="7"/>
  </w:num>
  <w:num w:numId="2" w16cid:durableId="455686101">
    <w:abstractNumId w:val="5"/>
  </w:num>
  <w:num w:numId="3" w16cid:durableId="1445422199">
    <w:abstractNumId w:val="8"/>
  </w:num>
  <w:num w:numId="4" w16cid:durableId="1768384348">
    <w:abstractNumId w:val="6"/>
  </w:num>
  <w:num w:numId="5" w16cid:durableId="713312905">
    <w:abstractNumId w:val="4"/>
  </w:num>
  <w:num w:numId="6" w16cid:durableId="92476140">
    <w:abstractNumId w:val="3"/>
  </w:num>
  <w:num w:numId="7" w16cid:durableId="878589261">
    <w:abstractNumId w:val="2"/>
  </w:num>
  <w:num w:numId="8" w16cid:durableId="758333731">
    <w:abstractNumId w:val="1"/>
  </w:num>
  <w:num w:numId="9" w16cid:durableId="1355305361">
    <w:abstractNumId w:val="0"/>
  </w:num>
  <w:num w:numId="10" w16cid:durableId="10416315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xMTczMbYwMzY2NzRV0lEKTi0uzszPAykwtqwFAGBtSuItAAAA"/>
  </w:docVars>
  <w:rsids>
    <w:rsidRoot w:val="007E66B6"/>
    <w:rsid w:val="00003D58"/>
    <w:rsid w:val="00006F11"/>
    <w:rsid w:val="000131EC"/>
    <w:rsid w:val="00024910"/>
    <w:rsid w:val="00030432"/>
    <w:rsid w:val="00030FFF"/>
    <w:rsid w:val="00032A0A"/>
    <w:rsid w:val="000339F6"/>
    <w:rsid w:val="00043D0E"/>
    <w:rsid w:val="00047102"/>
    <w:rsid w:val="00050816"/>
    <w:rsid w:val="0005660F"/>
    <w:rsid w:val="00060C50"/>
    <w:rsid w:val="000653C3"/>
    <w:rsid w:val="000702AD"/>
    <w:rsid w:val="000A3763"/>
    <w:rsid w:val="000B5610"/>
    <w:rsid w:val="000C05CC"/>
    <w:rsid w:val="000D4FD1"/>
    <w:rsid w:val="000D6BD5"/>
    <w:rsid w:val="000D7A51"/>
    <w:rsid w:val="000D7CCD"/>
    <w:rsid w:val="000F17DD"/>
    <w:rsid w:val="000F45BA"/>
    <w:rsid w:val="000F779B"/>
    <w:rsid w:val="000F78D9"/>
    <w:rsid w:val="0010179F"/>
    <w:rsid w:val="00104CED"/>
    <w:rsid w:val="00110027"/>
    <w:rsid w:val="0011206A"/>
    <w:rsid w:val="001140D9"/>
    <w:rsid w:val="00114258"/>
    <w:rsid w:val="0012276A"/>
    <w:rsid w:val="00132E20"/>
    <w:rsid w:val="00140FCD"/>
    <w:rsid w:val="00152A33"/>
    <w:rsid w:val="00154CA3"/>
    <w:rsid w:val="00164D76"/>
    <w:rsid w:val="00166319"/>
    <w:rsid w:val="001736D5"/>
    <w:rsid w:val="00176395"/>
    <w:rsid w:val="001769F8"/>
    <w:rsid w:val="00180F9B"/>
    <w:rsid w:val="00184ACD"/>
    <w:rsid w:val="00197508"/>
    <w:rsid w:val="001A1FA9"/>
    <w:rsid w:val="001A4B69"/>
    <w:rsid w:val="001A7018"/>
    <w:rsid w:val="001A7A90"/>
    <w:rsid w:val="001B27E6"/>
    <w:rsid w:val="001B7F08"/>
    <w:rsid w:val="001C513E"/>
    <w:rsid w:val="001C668D"/>
    <w:rsid w:val="001C79FE"/>
    <w:rsid w:val="001D2A7C"/>
    <w:rsid w:val="001D3A63"/>
    <w:rsid w:val="001E124F"/>
    <w:rsid w:val="001E54F6"/>
    <w:rsid w:val="001F379E"/>
    <w:rsid w:val="00212B1D"/>
    <w:rsid w:val="00216427"/>
    <w:rsid w:val="00224C0F"/>
    <w:rsid w:val="002254E7"/>
    <w:rsid w:val="00227BDE"/>
    <w:rsid w:val="002320F2"/>
    <w:rsid w:val="002347BE"/>
    <w:rsid w:val="00235458"/>
    <w:rsid w:val="002356DB"/>
    <w:rsid w:val="002438F5"/>
    <w:rsid w:val="0025034F"/>
    <w:rsid w:val="00255C07"/>
    <w:rsid w:val="002608A8"/>
    <w:rsid w:val="002636B2"/>
    <w:rsid w:val="002709DE"/>
    <w:rsid w:val="00271596"/>
    <w:rsid w:val="00274B37"/>
    <w:rsid w:val="00275676"/>
    <w:rsid w:val="00275778"/>
    <w:rsid w:val="00285D15"/>
    <w:rsid w:val="002916A5"/>
    <w:rsid w:val="002A0792"/>
    <w:rsid w:val="002A35D9"/>
    <w:rsid w:val="002A6B14"/>
    <w:rsid w:val="002A7493"/>
    <w:rsid w:val="002B1B33"/>
    <w:rsid w:val="002C08F1"/>
    <w:rsid w:val="002C1E1F"/>
    <w:rsid w:val="002C3431"/>
    <w:rsid w:val="002C71B3"/>
    <w:rsid w:val="002D14CC"/>
    <w:rsid w:val="002D3467"/>
    <w:rsid w:val="002E1CAE"/>
    <w:rsid w:val="002E5130"/>
    <w:rsid w:val="002E5874"/>
    <w:rsid w:val="002F0A97"/>
    <w:rsid w:val="002F3694"/>
    <w:rsid w:val="002F69A8"/>
    <w:rsid w:val="002F73BC"/>
    <w:rsid w:val="002F7C16"/>
    <w:rsid w:val="0031188A"/>
    <w:rsid w:val="00317B0F"/>
    <w:rsid w:val="00332EFD"/>
    <w:rsid w:val="00335408"/>
    <w:rsid w:val="003504C9"/>
    <w:rsid w:val="003664E9"/>
    <w:rsid w:val="003679A1"/>
    <w:rsid w:val="003748F3"/>
    <w:rsid w:val="00376F99"/>
    <w:rsid w:val="00386F38"/>
    <w:rsid w:val="00387843"/>
    <w:rsid w:val="00393EAD"/>
    <w:rsid w:val="003A05CB"/>
    <w:rsid w:val="003A5BEB"/>
    <w:rsid w:val="003A5D71"/>
    <w:rsid w:val="003B3273"/>
    <w:rsid w:val="003B4AF3"/>
    <w:rsid w:val="003B61E0"/>
    <w:rsid w:val="003B7A54"/>
    <w:rsid w:val="003C5469"/>
    <w:rsid w:val="003D32E5"/>
    <w:rsid w:val="003D38A3"/>
    <w:rsid w:val="003D7C13"/>
    <w:rsid w:val="003E354D"/>
    <w:rsid w:val="003E3C6A"/>
    <w:rsid w:val="003F737B"/>
    <w:rsid w:val="004000BC"/>
    <w:rsid w:val="00401E33"/>
    <w:rsid w:val="00406C86"/>
    <w:rsid w:val="00417AB3"/>
    <w:rsid w:val="004208AA"/>
    <w:rsid w:val="00425B8E"/>
    <w:rsid w:val="00426E2F"/>
    <w:rsid w:val="00426F88"/>
    <w:rsid w:val="00443EF9"/>
    <w:rsid w:val="00446C75"/>
    <w:rsid w:val="004513A8"/>
    <w:rsid w:val="004519CD"/>
    <w:rsid w:val="00461DC3"/>
    <w:rsid w:val="004639F5"/>
    <w:rsid w:val="00465746"/>
    <w:rsid w:val="00467EE7"/>
    <w:rsid w:val="004736A9"/>
    <w:rsid w:val="00475AC3"/>
    <w:rsid w:val="00475F89"/>
    <w:rsid w:val="00475FD2"/>
    <w:rsid w:val="0048277E"/>
    <w:rsid w:val="00494132"/>
    <w:rsid w:val="004A43AD"/>
    <w:rsid w:val="004B1C10"/>
    <w:rsid w:val="004C1B3F"/>
    <w:rsid w:val="004E60BB"/>
    <w:rsid w:val="004E6C35"/>
    <w:rsid w:val="004E7185"/>
    <w:rsid w:val="004F25ED"/>
    <w:rsid w:val="004F7B7F"/>
    <w:rsid w:val="005274F8"/>
    <w:rsid w:val="00532463"/>
    <w:rsid w:val="005355FE"/>
    <w:rsid w:val="005375FF"/>
    <w:rsid w:val="005415A9"/>
    <w:rsid w:val="00542E33"/>
    <w:rsid w:val="00542F59"/>
    <w:rsid w:val="00544306"/>
    <w:rsid w:val="005458C9"/>
    <w:rsid w:val="00555F48"/>
    <w:rsid w:val="0058178B"/>
    <w:rsid w:val="00591A57"/>
    <w:rsid w:val="00591CBC"/>
    <w:rsid w:val="00595D98"/>
    <w:rsid w:val="005972BE"/>
    <w:rsid w:val="005A1C9E"/>
    <w:rsid w:val="005B002A"/>
    <w:rsid w:val="005B6459"/>
    <w:rsid w:val="005C7DF3"/>
    <w:rsid w:val="005D0C10"/>
    <w:rsid w:val="005E20D8"/>
    <w:rsid w:val="005E4B93"/>
    <w:rsid w:val="005E4F05"/>
    <w:rsid w:val="005F0C96"/>
    <w:rsid w:val="005F16EE"/>
    <w:rsid w:val="005F79BD"/>
    <w:rsid w:val="00611C14"/>
    <w:rsid w:val="00613CBE"/>
    <w:rsid w:val="006209CE"/>
    <w:rsid w:val="00631B27"/>
    <w:rsid w:val="00633633"/>
    <w:rsid w:val="00633836"/>
    <w:rsid w:val="006420C8"/>
    <w:rsid w:val="006455A5"/>
    <w:rsid w:val="00661861"/>
    <w:rsid w:val="00661876"/>
    <w:rsid w:val="0068160C"/>
    <w:rsid w:val="006827A5"/>
    <w:rsid w:val="006A1C73"/>
    <w:rsid w:val="006A42DD"/>
    <w:rsid w:val="006B2581"/>
    <w:rsid w:val="006C6CCD"/>
    <w:rsid w:val="006D5409"/>
    <w:rsid w:val="006E2D16"/>
    <w:rsid w:val="006E7C0B"/>
    <w:rsid w:val="006F5CC7"/>
    <w:rsid w:val="00704B66"/>
    <w:rsid w:val="007114EA"/>
    <w:rsid w:val="007118C2"/>
    <w:rsid w:val="00712312"/>
    <w:rsid w:val="007128BA"/>
    <w:rsid w:val="0071375C"/>
    <w:rsid w:val="00720DFE"/>
    <w:rsid w:val="00743997"/>
    <w:rsid w:val="00753D99"/>
    <w:rsid w:val="00756022"/>
    <w:rsid w:val="00756D30"/>
    <w:rsid w:val="007629D3"/>
    <w:rsid w:val="00763472"/>
    <w:rsid w:val="007644B9"/>
    <w:rsid w:val="007656D7"/>
    <w:rsid w:val="0078588E"/>
    <w:rsid w:val="0079464B"/>
    <w:rsid w:val="007A4737"/>
    <w:rsid w:val="007A571A"/>
    <w:rsid w:val="007C5EBE"/>
    <w:rsid w:val="007C7DC8"/>
    <w:rsid w:val="007D320D"/>
    <w:rsid w:val="007E449C"/>
    <w:rsid w:val="007E66B6"/>
    <w:rsid w:val="007F4120"/>
    <w:rsid w:val="007F7849"/>
    <w:rsid w:val="00800EF4"/>
    <w:rsid w:val="00803969"/>
    <w:rsid w:val="00803FDA"/>
    <w:rsid w:val="008047DE"/>
    <w:rsid w:val="00812CB6"/>
    <w:rsid w:val="00820275"/>
    <w:rsid w:val="00822B22"/>
    <w:rsid w:val="00824A69"/>
    <w:rsid w:val="008301DC"/>
    <w:rsid w:val="00835C44"/>
    <w:rsid w:val="00835FCD"/>
    <w:rsid w:val="008379D8"/>
    <w:rsid w:val="008429F0"/>
    <w:rsid w:val="00842ED9"/>
    <w:rsid w:val="00843609"/>
    <w:rsid w:val="00843F09"/>
    <w:rsid w:val="00844F6D"/>
    <w:rsid w:val="00857D5E"/>
    <w:rsid w:val="008605D1"/>
    <w:rsid w:val="008608CC"/>
    <w:rsid w:val="008655C0"/>
    <w:rsid w:val="00872030"/>
    <w:rsid w:val="008837F2"/>
    <w:rsid w:val="008864F9"/>
    <w:rsid w:val="00890DEC"/>
    <w:rsid w:val="00894001"/>
    <w:rsid w:val="00895DA1"/>
    <w:rsid w:val="008A1201"/>
    <w:rsid w:val="008A3925"/>
    <w:rsid w:val="008B4172"/>
    <w:rsid w:val="008B78B1"/>
    <w:rsid w:val="008C0CEA"/>
    <w:rsid w:val="008C2DA5"/>
    <w:rsid w:val="008C2E54"/>
    <w:rsid w:val="008C2F26"/>
    <w:rsid w:val="008D0E07"/>
    <w:rsid w:val="008F6330"/>
    <w:rsid w:val="00910785"/>
    <w:rsid w:val="00912169"/>
    <w:rsid w:val="0092037A"/>
    <w:rsid w:val="00920632"/>
    <w:rsid w:val="009246AD"/>
    <w:rsid w:val="00935A18"/>
    <w:rsid w:val="00936C53"/>
    <w:rsid w:val="0094056E"/>
    <w:rsid w:val="00952765"/>
    <w:rsid w:val="00956D97"/>
    <w:rsid w:val="009619C2"/>
    <w:rsid w:val="009625A2"/>
    <w:rsid w:val="009639BC"/>
    <w:rsid w:val="009639D8"/>
    <w:rsid w:val="00963E34"/>
    <w:rsid w:val="009648A3"/>
    <w:rsid w:val="00980B10"/>
    <w:rsid w:val="009819E3"/>
    <w:rsid w:val="009B1AC8"/>
    <w:rsid w:val="009B1AF6"/>
    <w:rsid w:val="009C0C43"/>
    <w:rsid w:val="009C15A8"/>
    <w:rsid w:val="009C3305"/>
    <w:rsid w:val="009C78BF"/>
    <w:rsid w:val="009D1CE1"/>
    <w:rsid w:val="009D40D5"/>
    <w:rsid w:val="009D41AB"/>
    <w:rsid w:val="009F2E7E"/>
    <w:rsid w:val="009F35DC"/>
    <w:rsid w:val="009F5A95"/>
    <w:rsid w:val="009F636D"/>
    <w:rsid w:val="00A018D0"/>
    <w:rsid w:val="00A02D62"/>
    <w:rsid w:val="00A20EB5"/>
    <w:rsid w:val="00A21338"/>
    <w:rsid w:val="00A2799C"/>
    <w:rsid w:val="00A4657D"/>
    <w:rsid w:val="00A46B7E"/>
    <w:rsid w:val="00A50F6C"/>
    <w:rsid w:val="00A53F97"/>
    <w:rsid w:val="00A60DCF"/>
    <w:rsid w:val="00A76386"/>
    <w:rsid w:val="00A764EF"/>
    <w:rsid w:val="00A82B8D"/>
    <w:rsid w:val="00A92AEE"/>
    <w:rsid w:val="00A96874"/>
    <w:rsid w:val="00A975AD"/>
    <w:rsid w:val="00AB34C5"/>
    <w:rsid w:val="00AB4E5F"/>
    <w:rsid w:val="00AB5931"/>
    <w:rsid w:val="00AB774A"/>
    <w:rsid w:val="00AD46C7"/>
    <w:rsid w:val="00AE4722"/>
    <w:rsid w:val="00AE7A6E"/>
    <w:rsid w:val="00AF218C"/>
    <w:rsid w:val="00B004F9"/>
    <w:rsid w:val="00B04BF5"/>
    <w:rsid w:val="00B077EA"/>
    <w:rsid w:val="00B12B14"/>
    <w:rsid w:val="00B326A5"/>
    <w:rsid w:val="00B36ABF"/>
    <w:rsid w:val="00B50998"/>
    <w:rsid w:val="00B5520D"/>
    <w:rsid w:val="00B55EA8"/>
    <w:rsid w:val="00B622DE"/>
    <w:rsid w:val="00B73237"/>
    <w:rsid w:val="00B73527"/>
    <w:rsid w:val="00B7618D"/>
    <w:rsid w:val="00B93EE3"/>
    <w:rsid w:val="00B942C8"/>
    <w:rsid w:val="00BA68EB"/>
    <w:rsid w:val="00BC5CCB"/>
    <w:rsid w:val="00BD2C44"/>
    <w:rsid w:val="00BD5CDF"/>
    <w:rsid w:val="00BE4C28"/>
    <w:rsid w:val="00BE7CAB"/>
    <w:rsid w:val="00C00D9E"/>
    <w:rsid w:val="00C01C58"/>
    <w:rsid w:val="00C02574"/>
    <w:rsid w:val="00C10DCD"/>
    <w:rsid w:val="00C10EE0"/>
    <w:rsid w:val="00C12556"/>
    <w:rsid w:val="00C17C67"/>
    <w:rsid w:val="00C249EE"/>
    <w:rsid w:val="00C257A8"/>
    <w:rsid w:val="00C27400"/>
    <w:rsid w:val="00C27D0E"/>
    <w:rsid w:val="00C27D4A"/>
    <w:rsid w:val="00C402AF"/>
    <w:rsid w:val="00C412DB"/>
    <w:rsid w:val="00C5342C"/>
    <w:rsid w:val="00C62A9E"/>
    <w:rsid w:val="00C6712E"/>
    <w:rsid w:val="00C73958"/>
    <w:rsid w:val="00C83D8B"/>
    <w:rsid w:val="00C86EEF"/>
    <w:rsid w:val="00C93496"/>
    <w:rsid w:val="00C95886"/>
    <w:rsid w:val="00CC0145"/>
    <w:rsid w:val="00CE0A5C"/>
    <w:rsid w:val="00CE4382"/>
    <w:rsid w:val="00D032CE"/>
    <w:rsid w:val="00D069DF"/>
    <w:rsid w:val="00D133F6"/>
    <w:rsid w:val="00D152BB"/>
    <w:rsid w:val="00D2061A"/>
    <w:rsid w:val="00D32E24"/>
    <w:rsid w:val="00D42927"/>
    <w:rsid w:val="00D52100"/>
    <w:rsid w:val="00D618D4"/>
    <w:rsid w:val="00D630EA"/>
    <w:rsid w:val="00D70D4C"/>
    <w:rsid w:val="00D70EC2"/>
    <w:rsid w:val="00D74104"/>
    <w:rsid w:val="00D92F97"/>
    <w:rsid w:val="00DA30BF"/>
    <w:rsid w:val="00DB6547"/>
    <w:rsid w:val="00DB7787"/>
    <w:rsid w:val="00DC0710"/>
    <w:rsid w:val="00DC38CB"/>
    <w:rsid w:val="00DD6DBB"/>
    <w:rsid w:val="00DD7027"/>
    <w:rsid w:val="00DD73BF"/>
    <w:rsid w:val="00DE6B8D"/>
    <w:rsid w:val="00DE7E6F"/>
    <w:rsid w:val="00DF38DC"/>
    <w:rsid w:val="00DF79FA"/>
    <w:rsid w:val="00E04D71"/>
    <w:rsid w:val="00E074F2"/>
    <w:rsid w:val="00E144AF"/>
    <w:rsid w:val="00E1534B"/>
    <w:rsid w:val="00E16006"/>
    <w:rsid w:val="00E17AE9"/>
    <w:rsid w:val="00E22B52"/>
    <w:rsid w:val="00E23A87"/>
    <w:rsid w:val="00E25B97"/>
    <w:rsid w:val="00E3002D"/>
    <w:rsid w:val="00E30207"/>
    <w:rsid w:val="00E309D0"/>
    <w:rsid w:val="00E340F0"/>
    <w:rsid w:val="00E3585F"/>
    <w:rsid w:val="00E463CD"/>
    <w:rsid w:val="00E62BB8"/>
    <w:rsid w:val="00E7014E"/>
    <w:rsid w:val="00E73382"/>
    <w:rsid w:val="00E77EFF"/>
    <w:rsid w:val="00E816AD"/>
    <w:rsid w:val="00E905D5"/>
    <w:rsid w:val="00E91482"/>
    <w:rsid w:val="00E91AF0"/>
    <w:rsid w:val="00E92251"/>
    <w:rsid w:val="00E96302"/>
    <w:rsid w:val="00E96366"/>
    <w:rsid w:val="00E96F09"/>
    <w:rsid w:val="00EA414D"/>
    <w:rsid w:val="00EB4602"/>
    <w:rsid w:val="00EC6EB5"/>
    <w:rsid w:val="00ED0B44"/>
    <w:rsid w:val="00ED0DFD"/>
    <w:rsid w:val="00ED488B"/>
    <w:rsid w:val="00ED4CF0"/>
    <w:rsid w:val="00EF3EA1"/>
    <w:rsid w:val="00F00926"/>
    <w:rsid w:val="00F05CF6"/>
    <w:rsid w:val="00F134F5"/>
    <w:rsid w:val="00F144AE"/>
    <w:rsid w:val="00F25227"/>
    <w:rsid w:val="00F303C0"/>
    <w:rsid w:val="00F45369"/>
    <w:rsid w:val="00F47B85"/>
    <w:rsid w:val="00F5588B"/>
    <w:rsid w:val="00F5645C"/>
    <w:rsid w:val="00F71CEF"/>
    <w:rsid w:val="00F7204F"/>
    <w:rsid w:val="00F74952"/>
    <w:rsid w:val="00F77355"/>
    <w:rsid w:val="00F8331C"/>
    <w:rsid w:val="00F96B93"/>
    <w:rsid w:val="00FA192D"/>
    <w:rsid w:val="00FA267C"/>
    <w:rsid w:val="00FB53B1"/>
    <w:rsid w:val="00FB6AEF"/>
    <w:rsid w:val="00FC3099"/>
    <w:rsid w:val="00FE422B"/>
    <w:rsid w:val="00FE5744"/>
    <w:rsid w:val="00FE6219"/>
    <w:rsid w:val="00FF1434"/>
    <w:rsid w:val="00FF1DBC"/>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AF6FEF"/>
  <w15:docId w15:val="{2125BBCC-FD84-42D4-BBF9-D7108F7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jc w:val="both"/>
    </w:pPr>
    <w:rPr>
      <w:rFonts w:ascii="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rPr>
      <w:color w:val="800080"/>
      <w:u w:val="single"/>
    </w:rPr>
  </w:style>
  <w:style w:type="paragraph" w:styleId="BodyText">
    <w:name w:val="Body Text"/>
    <w:basedOn w:val="Normal"/>
    <w:pPr>
      <w:jc w:val="center"/>
    </w:pPr>
    <w:rPr>
      <w:b/>
      <w:sz w:val="40"/>
    </w:rPr>
  </w:style>
  <w:style w:type="paragraph" w:styleId="FootnoteText">
    <w:name w:val="footnote text"/>
    <w:basedOn w:val="Normal"/>
    <w:next w:val="TFReferencesSection"/>
    <w:semiHidden/>
  </w:style>
  <w:style w:type="paragraph" w:customStyle="1" w:styleId="TFReferencesSection">
    <w:name w:val="TF_References_Section"/>
    <w:basedOn w:val="Normal"/>
    <w:pPr>
      <w:spacing w:line="480" w:lineRule="auto"/>
      <w:ind w:firstLine="187"/>
    </w:pPr>
  </w:style>
  <w:style w:type="paragraph" w:customStyle="1" w:styleId="TAMainText">
    <w:name w:val="TA_Main_Text"/>
    <w:basedOn w:val="Normal"/>
    <w:pPr>
      <w:spacing w:after="0" w:line="480" w:lineRule="auto"/>
      <w:ind w:firstLine="202"/>
    </w:pPr>
  </w:style>
  <w:style w:type="paragraph" w:customStyle="1" w:styleId="BATitle">
    <w:name w:val="BA_Title"/>
    <w:basedOn w:val="Normal"/>
    <w:next w:val="BBAuthorName"/>
    <w:pPr>
      <w:spacing w:before="720" w:after="360" w:line="480" w:lineRule="auto"/>
      <w:jc w:val="center"/>
    </w:pPr>
    <w:rPr>
      <w:rFonts w:ascii="Times New Roman" w:hAnsi="Times New Roman"/>
      <w:sz w:val="44"/>
    </w:rPr>
  </w:style>
  <w:style w:type="paragraph" w:customStyle="1" w:styleId="BBAuthorName">
    <w:name w:val="BB_Author_Name"/>
    <w:basedOn w:val="Normal"/>
    <w:next w:val="BCAuthorAddress"/>
    <w:pPr>
      <w:spacing w:after="240" w:line="480" w:lineRule="auto"/>
      <w:jc w:val="center"/>
    </w:pPr>
    <w:rPr>
      <w:i/>
    </w:rPr>
  </w:style>
  <w:style w:type="paragraph" w:customStyle="1" w:styleId="BCAuthorAddress">
    <w:name w:val="BC_Author_Address"/>
    <w:basedOn w:val="Normal"/>
    <w:next w:val="BIEmailAddress"/>
    <w:pPr>
      <w:spacing w:after="240" w:line="480" w:lineRule="auto"/>
      <w:jc w:val="center"/>
    </w:pPr>
  </w:style>
  <w:style w:type="paragraph" w:customStyle="1" w:styleId="BIEmailAddress">
    <w:name w:val="BI_Email_Address"/>
    <w:basedOn w:val="Normal"/>
    <w:next w:val="AIReceivedDate"/>
    <w:pPr>
      <w:spacing w:line="480" w:lineRule="auto"/>
    </w:pPr>
  </w:style>
  <w:style w:type="paragraph" w:customStyle="1" w:styleId="AIReceivedDate">
    <w:name w:val="AI_Received_Date"/>
    <w:basedOn w:val="Normal"/>
    <w:next w:val="BDAbstract"/>
    <w:pPr>
      <w:spacing w:after="240" w:line="480" w:lineRule="auto"/>
    </w:pPr>
    <w:rPr>
      <w:b/>
    </w:rPr>
  </w:style>
  <w:style w:type="paragraph" w:customStyle="1" w:styleId="BDAbstract">
    <w:name w:val="BD_Abstract"/>
    <w:basedOn w:val="Normal"/>
    <w:next w:val="TAMainText"/>
    <w:pPr>
      <w:spacing w:before="360" w:after="360" w:line="480" w:lineRule="auto"/>
    </w:pPr>
  </w:style>
  <w:style w:type="paragraph" w:customStyle="1" w:styleId="TDAcknowledgments">
    <w:name w:val="TD_Acknowledgments"/>
    <w:basedOn w:val="Normal"/>
    <w:next w:val="Normal"/>
    <w:pPr>
      <w:spacing w:before="200" w:line="480" w:lineRule="auto"/>
      <w:ind w:firstLine="202"/>
    </w:pPr>
  </w:style>
  <w:style w:type="paragraph" w:customStyle="1" w:styleId="TESupportingInformation">
    <w:name w:val="TE_Supporting_Information"/>
    <w:basedOn w:val="Normal"/>
    <w:next w:val="Normal"/>
    <w:pPr>
      <w:spacing w:line="480" w:lineRule="auto"/>
      <w:ind w:firstLine="187"/>
    </w:pPr>
  </w:style>
  <w:style w:type="paragraph" w:customStyle="1" w:styleId="VCSchemeTitle">
    <w:name w:val="VC_Scheme_Title"/>
    <w:basedOn w:val="Normal"/>
    <w:next w:val="Normal"/>
    <w:pPr>
      <w:spacing w:line="480" w:lineRule="auto"/>
    </w:pPr>
  </w:style>
  <w:style w:type="paragraph" w:customStyle="1" w:styleId="VDTableTitle">
    <w:name w:val="VD_Table_Title"/>
    <w:basedOn w:val="Normal"/>
    <w:next w:val="Normal"/>
    <w:pPr>
      <w:spacing w:line="480" w:lineRule="auto"/>
    </w:pPr>
  </w:style>
  <w:style w:type="paragraph" w:customStyle="1" w:styleId="VAFigureCaption">
    <w:name w:val="VA_Figure_Caption"/>
    <w:basedOn w:val="Normal"/>
    <w:next w:val="Normal"/>
    <w:pPr>
      <w:spacing w:line="480" w:lineRule="auto"/>
    </w:pPr>
  </w:style>
  <w:style w:type="paragraph" w:customStyle="1" w:styleId="VBChartTitle">
    <w:name w:val="VB_Chart_Title"/>
    <w:basedOn w:val="Normal"/>
    <w:next w:val="Normal"/>
    <w:pPr>
      <w:spacing w:line="480" w:lineRule="auto"/>
    </w:pPr>
  </w:style>
  <w:style w:type="paragraph" w:customStyle="1" w:styleId="FETableFootnote">
    <w:name w:val="FE_Table_Footnote"/>
    <w:basedOn w:val="Normal"/>
    <w:next w:val="Normal"/>
    <w:pPr>
      <w:ind w:firstLine="187"/>
    </w:pPr>
  </w:style>
  <w:style w:type="paragraph" w:customStyle="1" w:styleId="FCChartFootnote">
    <w:name w:val="FC_Chart_Footnote"/>
    <w:basedOn w:val="Normal"/>
    <w:next w:val="Normal"/>
    <w:pPr>
      <w:ind w:firstLine="187"/>
    </w:pPr>
  </w:style>
  <w:style w:type="paragraph" w:customStyle="1" w:styleId="FDSchemeFootnote">
    <w:name w:val="FD_Scheme_Footnote"/>
    <w:basedOn w:val="Normal"/>
    <w:next w:val="Normal"/>
    <w:pPr>
      <w:ind w:firstLine="187"/>
    </w:pPr>
  </w:style>
  <w:style w:type="paragraph" w:customStyle="1" w:styleId="TCTableBody">
    <w:name w:val="TC_Table_Body"/>
    <w:basedOn w:val="Normal"/>
  </w:style>
  <w:style w:type="paragraph" w:customStyle="1" w:styleId="AFTitleRunningHead">
    <w:name w:val="AF_Title_Running_Head"/>
    <w:basedOn w:val="Normal"/>
    <w:next w:val="TAMainText"/>
    <w:pPr>
      <w:spacing w:line="480" w:lineRule="auto"/>
    </w:pPr>
  </w:style>
  <w:style w:type="paragraph" w:customStyle="1" w:styleId="BEAuthorBiography">
    <w:name w:val="BE_Author_Biography"/>
    <w:basedOn w:val="Normal"/>
    <w:pPr>
      <w:spacing w:line="480" w:lineRule="auto"/>
    </w:pPr>
  </w:style>
  <w:style w:type="paragraph" w:customStyle="1" w:styleId="FACorrespondingAuthorFootnote">
    <w:name w:val="FA_Corresponding_Author_Footnote"/>
    <w:basedOn w:val="Normal"/>
    <w:next w:val="TAMainText"/>
    <w:pPr>
      <w:spacing w:line="480" w:lineRule="auto"/>
    </w:pPr>
  </w:style>
  <w:style w:type="paragraph" w:customStyle="1" w:styleId="SNSynopsisTOC">
    <w:name w:val="SN_Synopsis_TOC"/>
    <w:basedOn w:val="Normal"/>
    <w:pPr>
      <w:spacing w:line="480" w:lineRule="auto"/>
    </w:pPr>
  </w:style>
  <w:style w:type="character" w:styleId="Hyperlink">
    <w:name w:val="Hyperlink"/>
    <w:rPr>
      <w:color w:val="0000FF"/>
      <w:u w:val="single"/>
    </w:rPr>
  </w:style>
  <w:style w:type="paragraph" w:styleId="Footer">
    <w:name w:val="footer"/>
    <w:basedOn w:val="Normal"/>
    <w:pPr>
      <w:tabs>
        <w:tab w:val="center" w:pos="4320"/>
        <w:tab w:val="right" w:pos="8640"/>
      </w:tabs>
    </w:pPr>
  </w:style>
  <w:style w:type="paragraph" w:customStyle="1" w:styleId="BGKeywords">
    <w:name w:val="BG_Keywords"/>
    <w:basedOn w:val="Normal"/>
    <w:pPr>
      <w:spacing w:line="480" w:lineRule="auto"/>
    </w:pPr>
  </w:style>
  <w:style w:type="paragraph" w:customStyle="1" w:styleId="BHBriefs">
    <w:name w:val="BH_Briefs"/>
    <w:basedOn w:val="Normal"/>
    <w:pPr>
      <w:spacing w:line="480" w:lineRule="auto"/>
    </w:pPr>
  </w:style>
  <w:style w:type="character" w:styleId="PageNumber">
    <w:name w:val="page number"/>
    <w:basedOn w:val="DefaultParagraphFont"/>
  </w:style>
  <w:style w:type="paragraph" w:styleId="BalloonText">
    <w:name w:val="Balloon Text"/>
    <w:basedOn w:val="Normal"/>
    <w:semiHidden/>
    <w:rsid w:val="00E96302"/>
    <w:rPr>
      <w:rFonts w:ascii="Tahoma" w:hAnsi="Tahoma" w:cs="Tahoma"/>
      <w:sz w:val="16"/>
      <w:szCs w:val="16"/>
    </w:rPr>
  </w:style>
  <w:style w:type="paragraph" w:customStyle="1" w:styleId="StyleFACorrespondingAuthorFootnote7pt">
    <w:name w:val="Style FA_Corresponding_Author_Footnote + 7 pt"/>
    <w:basedOn w:val="Normal"/>
    <w:next w:val="BGKeywords"/>
    <w:link w:val="StyleFACorrespondingAuthorFootnote7ptChar"/>
    <w:autoRedefine/>
    <w:rsid w:val="00C10EE0"/>
    <w:pPr>
      <w:spacing w:after="0"/>
      <w:jc w:val="left"/>
    </w:pPr>
    <w:rPr>
      <w:rFonts w:ascii="Arno Pro" w:hAnsi="Arno Pro"/>
      <w:kern w:val="20"/>
      <w:sz w:val="18"/>
    </w:rPr>
  </w:style>
  <w:style w:type="character" w:customStyle="1" w:styleId="StyleFACorrespondingAuthorFootnote7ptChar">
    <w:name w:val="Style FA_Corresponding_Author_Footnote + 7 pt Char"/>
    <w:link w:val="StyleFACorrespondingAuthorFootnote7pt"/>
    <w:rsid w:val="00C10EE0"/>
    <w:rPr>
      <w:rFonts w:ascii="Arno Pro" w:hAnsi="Arno Pro"/>
      <w:kern w:val="20"/>
      <w:sz w:val="18"/>
    </w:rPr>
  </w:style>
  <w:style w:type="paragraph" w:customStyle="1" w:styleId="FAAuthorInfoSubtitle">
    <w:name w:val="FA_Author_Info_Subtitle"/>
    <w:basedOn w:val="Normal"/>
    <w:link w:val="FAAuthorInfoSubtitleChar"/>
    <w:autoRedefine/>
    <w:rsid w:val="00DD6DBB"/>
    <w:pPr>
      <w:spacing w:before="120" w:after="60" w:line="480" w:lineRule="auto"/>
      <w:jc w:val="left"/>
    </w:pPr>
    <w:rPr>
      <w:b/>
    </w:rPr>
  </w:style>
  <w:style w:type="character" w:customStyle="1" w:styleId="FAAuthorInfoSubtitleChar">
    <w:name w:val="FA_Author_Info_Subtitle Char"/>
    <w:link w:val="FAAuthorInfoSubtitle"/>
    <w:rsid w:val="00DD6DBB"/>
    <w:rPr>
      <w:rFonts w:ascii="Times" w:hAnsi="Times"/>
      <w:b/>
      <w:sz w:val="24"/>
    </w:rPr>
  </w:style>
  <w:style w:type="paragraph" w:customStyle="1" w:styleId="Default">
    <w:name w:val="Default"/>
    <w:rsid w:val="001A7A90"/>
    <w:pPr>
      <w:autoSpaceDE w:val="0"/>
      <w:autoSpaceDN w:val="0"/>
      <w:adjustRightInd w:val="0"/>
    </w:pPr>
    <w:rPr>
      <w:rFonts w:ascii="Symbol" w:hAnsi="Symbol" w:cs="Symbol"/>
      <w:color w:val="000000"/>
      <w:sz w:val="24"/>
      <w:szCs w:val="24"/>
    </w:rPr>
  </w:style>
  <w:style w:type="paragraph" w:styleId="ListParagraph">
    <w:name w:val="List Paragraph"/>
    <w:basedOn w:val="Normal"/>
    <w:uiPriority w:val="34"/>
    <w:qFormat/>
    <w:rsid w:val="00820275"/>
    <w:pPr>
      <w:ind w:left="720"/>
      <w:contextualSpacing/>
    </w:pPr>
  </w:style>
  <w:style w:type="table" w:customStyle="1" w:styleId="PlainTable21">
    <w:name w:val="Plain Table 21"/>
    <w:basedOn w:val="TableNormal"/>
    <w:uiPriority w:val="42"/>
    <w:rsid w:val="009D1CE1"/>
    <w:rPr>
      <w:rFonts w:asciiTheme="minorHAnsi" w:eastAsiaTheme="minorHAnsi" w:hAnsiTheme="minorHAnsi" w:cstheme="minorBidi"/>
      <w:sz w:val="22"/>
      <w:szCs w:val="22"/>
      <w:lang w:val="en-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semiHidden/>
    <w:unhideWhenUsed/>
    <w:rsid w:val="00F5588B"/>
    <w:pPr>
      <w:spacing w:before="100" w:beforeAutospacing="1" w:after="100" w:afterAutospacing="1"/>
      <w:jc w:val="left"/>
    </w:pPr>
    <w:rPr>
      <w:rFonts w:ascii="Times New Roman" w:hAnsi="Times New Roman"/>
      <w:szCs w:val="24"/>
      <w:lang w:bidi="hi-IN"/>
    </w:rPr>
  </w:style>
  <w:style w:type="paragraph" w:styleId="Header">
    <w:name w:val="header"/>
    <w:basedOn w:val="Normal"/>
    <w:link w:val="HeaderChar"/>
    <w:unhideWhenUsed/>
    <w:rsid w:val="00A975AD"/>
    <w:pPr>
      <w:tabs>
        <w:tab w:val="center" w:pos="4680"/>
        <w:tab w:val="right" w:pos="9360"/>
      </w:tabs>
      <w:spacing w:after="0"/>
    </w:pPr>
  </w:style>
  <w:style w:type="character" w:customStyle="1" w:styleId="HeaderChar">
    <w:name w:val="Header Char"/>
    <w:basedOn w:val="DefaultParagraphFont"/>
    <w:link w:val="Header"/>
    <w:rsid w:val="00A975AD"/>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76579">
      <w:bodyDiv w:val="1"/>
      <w:marLeft w:val="0"/>
      <w:marRight w:val="0"/>
      <w:marTop w:val="0"/>
      <w:marBottom w:val="0"/>
      <w:divBdr>
        <w:top w:val="none" w:sz="0" w:space="0" w:color="auto"/>
        <w:left w:val="none" w:sz="0" w:space="0" w:color="auto"/>
        <w:bottom w:val="none" w:sz="0" w:space="0" w:color="auto"/>
        <w:right w:val="none" w:sz="0" w:space="0" w:color="auto"/>
      </w:divBdr>
      <w:divsChild>
        <w:div w:id="2043240547">
          <w:marLeft w:val="0"/>
          <w:marRight w:val="0"/>
          <w:marTop w:val="0"/>
          <w:marBottom w:val="0"/>
          <w:divBdr>
            <w:top w:val="none" w:sz="0" w:space="0" w:color="auto"/>
            <w:left w:val="none" w:sz="0" w:space="0" w:color="auto"/>
            <w:bottom w:val="none" w:sz="0" w:space="0" w:color="auto"/>
            <w:right w:val="none" w:sz="0" w:space="0" w:color="auto"/>
          </w:divBdr>
        </w:div>
        <w:div w:id="1619145638">
          <w:marLeft w:val="0"/>
          <w:marRight w:val="0"/>
          <w:marTop w:val="0"/>
          <w:marBottom w:val="0"/>
          <w:divBdr>
            <w:top w:val="none" w:sz="0" w:space="0" w:color="auto"/>
            <w:left w:val="none" w:sz="0" w:space="0" w:color="auto"/>
            <w:bottom w:val="none" w:sz="0" w:space="0" w:color="auto"/>
            <w:right w:val="none" w:sz="0" w:space="0" w:color="auto"/>
          </w:divBdr>
        </w:div>
      </w:divsChild>
    </w:div>
    <w:div w:id="437219895">
      <w:bodyDiv w:val="1"/>
      <w:marLeft w:val="0"/>
      <w:marRight w:val="0"/>
      <w:marTop w:val="0"/>
      <w:marBottom w:val="0"/>
      <w:divBdr>
        <w:top w:val="none" w:sz="0" w:space="0" w:color="auto"/>
        <w:left w:val="none" w:sz="0" w:space="0" w:color="auto"/>
        <w:bottom w:val="none" w:sz="0" w:space="0" w:color="auto"/>
        <w:right w:val="none" w:sz="0" w:space="0" w:color="auto"/>
      </w:divBdr>
    </w:div>
    <w:div w:id="1370448907">
      <w:bodyDiv w:val="1"/>
      <w:marLeft w:val="0"/>
      <w:marRight w:val="0"/>
      <w:marTop w:val="0"/>
      <w:marBottom w:val="0"/>
      <w:divBdr>
        <w:top w:val="none" w:sz="0" w:space="0" w:color="auto"/>
        <w:left w:val="none" w:sz="0" w:space="0" w:color="auto"/>
        <w:bottom w:val="none" w:sz="0" w:space="0" w:color="auto"/>
        <w:right w:val="none" w:sz="0" w:space="0" w:color="auto"/>
      </w:divBdr>
    </w:div>
    <w:div w:id="1439518996">
      <w:bodyDiv w:val="1"/>
      <w:marLeft w:val="0"/>
      <w:marRight w:val="0"/>
      <w:marTop w:val="0"/>
      <w:marBottom w:val="0"/>
      <w:divBdr>
        <w:top w:val="none" w:sz="0" w:space="0" w:color="auto"/>
        <w:left w:val="none" w:sz="0" w:space="0" w:color="auto"/>
        <w:bottom w:val="none" w:sz="0" w:space="0" w:color="auto"/>
        <w:right w:val="none" w:sz="0" w:space="0" w:color="auto"/>
      </w:divBdr>
      <w:divsChild>
        <w:div w:id="1500583716">
          <w:marLeft w:val="0"/>
          <w:marRight w:val="0"/>
          <w:marTop w:val="0"/>
          <w:marBottom w:val="0"/>
          <w:divBdr>
            <w:top w:val="none" w:sz="0" w:space="0" w:color="auto"/>
            <w:left w:val="none" w:sz="0" w:space="0" w:color="auto"/>
            <w:bottom w:val="none" w:sz="0" w:space="0" w:color="auto"/>
            <w:right w:val="none" w:sz="0" w:space="0" w:color="auto"/>
          </w:divBdr>
        </w:div>
        <w:div w:id="218707944">
          <w:marLeft w:val="0"/>
          <w:marRight w:val="0"/>
          <w:marTop w:val="0"/>
          <w:marBottom w:val="0"/>
          <w:divBdr>
            <w:top w:val="none" w:sz="0" w:space="0" w:color="auto"/>
            <w:left w:val="none" w:sz="0" w:space="0" w:color="auto"/>
            <w:bottom w:val="none" w:sz="0" w:space="0" w:color="auto"/>
            <w:right w:val="none" w:sz="0" w:space="0" w:color="auto"/>
          </w:divBdr>
          <w:divsChild>
            <w:div w:id="124834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649189">
      <w:bodyDiv w:val="1"/>
      <w:marLeft w:val="0"/>
      <w:marRight w:val="0"/>
      <w:marTop w:val="0"/>
      <w:marBottom w:val="0"/>
      <w:divBdr>
        <w:top w:val="none" w:sz="0" w:space="0" w:color="auto"/>
        <w:left w:val="none" w:sz="0" w:space="0" w:color="auto"/>
        <w:bottom w:val="none" w:sz="0" w:space="0" w:color="auto"/>
        <w:right w:val="none" w:sz="0" w:space="0" w:color="auto"/>
      </w:divBdr>
      <w:divsChild>
        <w:div w:id="1494486933">
          <w:marLeft w:val="0"/>
          <w:marRight w:val="0"/>
          <w:marTop w:val="0"/>
          <w:marBottom w:val="0"/>
          <w:divBdr>
            <w:top w:val="none" w:sz="0" w:space="0" w:color="auto"/>
            <w:left w:val="none" w:sz="0" w:space="0" w:color="auto"/>
            <w:bottom w:val="none" w:sz="0" w:space="0" w:color="auto"/>
            <w:right w:val="none" w:sz="0" w:space="0" w:color="auto"/>
          </w:divBdr>
        </w:div>
        <w:div w:id="1133527201">
          <w:marLeft w:val="0"/>
          <w:marRight w:val="0"/>
          <w:marTop w:val="0"/>
          <w:marBottom w:val="0"/>
          <w:divBdr>
            <w:top w:val="none" w:sz="0" w:space="0" w:color="auto"/>
            <w:left w:val="none" w:sz="0" w:space="0" w:color="auto"/>
            <w:bottom w:val="none" w:sz="0" w:space="0" w:color="auto"/>
            <w:right w:val="none" w:sz="0" w:space="0" w:color="auto"/>
          </w:divBdr>
        </w:div>
        <w:div w:id="65300490">
          <w:marLeft w:val="0"/>
          <w:marRight w:val="0"/>
          <w:marTop w:val="0"/>
          <w:marBottom w:val="0"/>
          <w:divBdr>
            <w:top w:val="none" w:sz="0" w:space="0" w:color="auto"/>
            <w:left w:val="none" w:sz="0" w:space="0" w:color="auto"/>
            <w:bottom w:val="none" w:sz="0" w:space="0" w:color="auto"/>
            <w:right w:val="none" w:sz="0" w:space="0" w:color="auto"/>
          </w:divBdr>
        </w:div>
        <w:div w:id="20145262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paper%20wrinting%202020%20%20%20%20TPP-TPGS\ACS%20Guidlines\acstemplate_msw2011_ma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8B9E0-CC60-41BA-95A9-5AD00B631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acstemplate_msw2011_mac</Template>
  <TotalTime>54</TotalTime>
  <Pages>4</Pages>
  <Words>7161</Words>
  <Characters>40819</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Template for Electronic Submission to ACS Journals</vt:lpstr>
    </vt:vector>
  </TitlesOfParts>
  <Company>ACS</Company>
  <LinksUpToDate>false</LinksUpToDate>
  <CharactersWithSpaces>47885</CharactersWithSpaces>
  <SharedDoc>false</SharedDoc>
  <HLinks>
    <vt:vector size="6" baseType="variant">
      <vt:variant>
        <vt:i4>4849748</vt:i4>
      </vt:variant>
      <vt:variant>
        <vt:i4>0</vt:i4>
      </vt:variant>
      <vt:variant>
        <vt:i4>0</vt:i4>
      </vt:variant>
      <vt:variant>
        <vt:i4>5</vt:i4>
      </vt:variant>
      <vt:variant>
        <vt:lpwstr>http://pubs.acs.org/page/4authors/index.html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Electronic Submission to ACS Journals</dc:title>
  <dc:subject/>
  <dc:creator>ADMIN</dc:creator>
  <cp:keywords/>
  <cp:lastModifiedBy>PAVAN YADAV</cp:lastModifiedBy>
  <cp:revision>17</cp:revision>
  <cp:lastPrinted>2008-06-11T21:33:00Z</cp:lastPrinted>
  <dcterms:created xsi:type="dcterms:W3CDTF">2022-12-20T10:24:00Z</dcterms:created>
  <dcterms:modified xsi:type="dcterms:W3CDTF">2023-01-27T19:40:00Z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http://www.zotero.org/styles/advanced-healthcare-materials</vt:lpwstr>
  </property>
  <property fmtid="{D5CDD505-2E9C-101B-9397-08002B2CF9AE}" pid="3" name="Mendeley Recent Style Name 0_1">
    <vt:lpwstr>Advanced Healthcare Materials</vt:lpwstr>
  </property>
  <property fmtid="{D5CDD505-2E9C-101B-9397-08002B2CF9AE}" pid="4" name="Mendeley Recent Style Id 1_1">
    <vt:lpwstr>http://www.zotero.org/styles/american-medical-association</vt:lpwstr>
  </property>
  <property fmtid="{D5CDD505-2E9C-101B-9397-08002B2CF9AE}" pid="5" name="Mendeley Recent Style Name 1_1">
    <vt:lpwstr>American Medical Association 11th edition</vt:lpwstr>
  </property>
  <property fmtid="{D5CDD505-2E9C-101B-9397-08002B2CF9AE}" pid="6" name="Mendeley Recent Style Id 2_1">
    <vt:lpwstr>http://www.zotero.org/styles/american-political-science-association</vt:lpwstr>
  </property>
  <property fmtid="{D5CDD505-2E9C-101B-9397-08002B2CF9AE}" pid="7" name="Mendeley Recent Style Name 2_1">
    <vt:lpwstr>American Political Science Association</vt:lpwstr>
  </property>
  <property fmtid="{D5CDD505-2E9C-101B-9397-08002B2CF9AE}" pid="8" name="Mendeley Recent Style Id 3_1">
    <vt:lpwstr>http://www.zotero.org/styles/asian-journal-of-pharmaceutical-sciences</vt:lpwstr>
  </property>
  <property fmtid="{D5CDD505-2E9C-101B-9397-08002B2CF9AE}" pid="9" name="Mendeley Recent Style Name 3_1">
    <vt:lpwstr>Asian Journal of Pharmaceutical Sciences</vt:lpwstr>
  </property>
  <property fmtid="{D5CDD505-2E9C-101B-9397-08002B2CF9AE}" pid="10" name="Mendeley Recent Style Id 4_1">
    <vt:lpwstr>http://www.zotero.org/styles/bioanalysis</vt:lpwstr>
  </property>
  <property fmtid="{D5CDD505-2E9C-101B-9397-08002B2CF9AE}" pid="11" name="Mendeley Recent Style Name 4_1">
    <vt:lpwstr>Bioanalysis</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http://www.zotero.org/styles/nanomedicine</vt:lpwstr>
  </property>
  <property fmtid="{D5CDD505-2E9C-101B-9397-08002B2CF9AE}" pid="21" name="Mendeley Recent Style Name 9_1">
    <vt:lpwstr>Nanomedicine</vt:lpwstr>
  </property>
  <property fmtid="{D5CDD505-2E9C-101B-9397-08002B2CF9AE}" pid="22" name="Mendeley Document_1">
    <vt:lpwstr>True</vt:lpwstr>
  </property>
  <property fmtid="{D5CDD505-2E9C-101B-9397-08002B2CF9AE}" pid="23" name="Mendeley Unique User Id_1">
    <vt:lpwstr>5402cd17-d5d7-35b9-b70a-7985908e63d1</vt:lpwstr>
  </property>
  <property fmtid="{D5CDD505-2E9C-101B-9397-08002B2CF9AE}" pid="24" name="Mendeley Citation Style_1">
    <vt:lpwstr>http://www.zotero.org/styles/nanomedicine</vt:lpwstr>
  </property>
</Properties>
</file>