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pacing w:val="15"/>
          <w:sz w:val="16"/>
          <w:szCs w:val="16"/>
        </w:rPr>
      </w:pPr>
      <w:r>
        <w:rPr>
          <w:rFonts w:ascii="Times New Roman" w:hAnsi="Times New Roman" w:cs="Times New Roman"/>
          <w:b/>
          <w:spacing w:val="15"/>
          <w:sz w:val="16"/>
          <w:szCs w:val="16"/>
        </w:rPr>
        <w:t>(A)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020"/>
        <w:gridCol w:w="1020"/>
        <w:gridCol w:w="1020"/>
        <w:gridCol w:w="1020"/>
        <w:gridCol w:w="1020"/>
        <w:gridCol w:w="102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bookmarkStart w:id="0" w:name="_Hlk108650875"/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ank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single" w:color="auto" w:sz="8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Chemo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.00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.00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.02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.09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.26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.62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Camre-chemo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.14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.19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.22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.21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.16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Pem-chemo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.10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.16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.21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.24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.20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Sint-chemo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.26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.27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.20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.14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.09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Nivo-chemo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.11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.16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.19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.21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.22</w:t>
            </w: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Tori-chemo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.39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.23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.16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.11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.07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.04</w:t>
            </w:r>
          </w:p>
        </w:tc>
      </w:tr>
      <w:bookmarkEnd w:id="0"/>
    </w:tbl>
    <w:p>
      <w:pPr>
        <w:numPr>
          <w:ilvl w:val="0"/>
          <w:numId w:val="0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pacing w:val="15"/>
          <w:sz w:val="16"/>
          <w:szCs w:val="16"/>
        </w:rPr>
        <w:t>(</w:t>
      </w:r>
      <w:r>
        <w:rPr>
          <w:rFonts w:hint="eastAsia" w:ascii="Times New Roman" w:hAnsi="Times New Roman" w:cs="Times New Roman"/>
          <w:b/>
          <w:spacing w:val="15"/>
          <w:sz w:val="16"/>
          <w:szCs w:val="16"/>
          <w:lang w:val="en-US" w:eastAsia="zh-CN"/>
        </w:rPr>
        <w:t>B</w:t>
      </w:r>
      <w:r>
        <w:rPr>
          <w:rFonts w:ascii="Times New Roman" w:hAnsi="Times New Roman" w:cs="Times New Roman"/>
          <w:b/>
          <w:spacing w:val="15"/>
          <w:sz w:val="16"/>
          <w:szCs w:val="16"/>
        </w:rPr>
        <w:t>)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020"/>
        <w:gridCol w:w="1020"/>
        <w:gridCol w:w="1020"/>
        <w:gridCol w:w="1020"/>
        <w:gridCol w:w="1020"/>
        <w:gridCol w:w="102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ank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color="auto" w:sz="8" w:space="0"/>
              <w:bottom w:val="single" w:color="auto" w:sz="8" w:space="0"/>
            </w:tcBorders>
            <w:shd w:val="clear" w:color="auto" w:fill="D0CECE" w:themeFill="background2" w:themeFillShade="E6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single" w:color="auto" w:sz="8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Chemo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0.01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0.08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0.28</w:t>
            </w:r>
          </w:p>
        </w:tc>
        <w:tc>
          <w:tcPr>
            <w:tcW w:w="102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0.63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Camre-chemo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0.30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0.14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Pem-chemo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0.12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0.17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0.30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0.13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Sint-chemo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0.13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Nivo-chemo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0.11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0.18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0.39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kern w:val="0"/>
                <w:sz w:val="20"/>
                <w:szCs w:val="20"/>
              </w:rPr>
              <w:t>Tori-chemo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0.25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0.23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0.23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0.17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0.08</w:t>
            </w:r>
          </w:p>
        </w:tc>
        <w:tc>
          <w:tcPr>
            <w:tcW w:w="10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pacing w:val="15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15"/>
                <w:kern w:val="0"/>
                <w:sz w:val="20"/>
                <w:szCs w:val="20"/>
                <w:lang w:val="en-US" w:eastAsia="zh-CN"/>
              </w:rPr>
              <w:t>0.04</w:t>
            </w:r>
          </w:p>
        </w:tc>
      </w:tr>
    </w:tbl>
    <w:p>
      <w:r>
        <w:rPr>
          <w:rFonts w:hint="eastAsia" w:ascii="Times New Roman" w:hAnsi="Times New Roman" w:cs="Times New Roman"/>
          <w:sz w:val="16"/>
          <w:szCs w:val="16"/>
        </w:rPr>
        <w:t xml:space="preserve">Supplementary File 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>4</w:t>
      </w:r>
      <w:r>
        <w:rPr>
          <w:rFonts w:ascii="Times New Roman" w:hAnsi="Times New Roman" w:cs="Times New Roman"/>
          <w:sz w:val="16"/>
          <w:szCs w:val="16"/>
        </w:rPr>
        <w:t xml:space="preserve">. Efficacy 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>r</w:t>
      </w:r>
      <w:r>
        <w:rPr>
          <w:rFonts w:ascii="Times New Roman" w:hAnsi="Times New Roman" w:cs="Times New Roman"/>
          <w:sz w:val="16"/>
          <w:szCs w:val="16"/>
        </w:rPr>
        <w:t xml:space="preserve">anking 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>d</w:t>
      </w:r>
      <w:r>
        <w:rPr>
          <w:rFonts w:ascii="Times New Roman" w:hAnsi="Times New Roman" w:cs="Times New Roman"/>
          <w:sz w:val="16"/>
          <w:szCs w:val="16"/>
        </w:rPr>
        <w:t>ata of (A)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16"/>
          <w:szCs w:val="16"/>
        </w:rPr>
        <w:t>overall survival</w:t>
      </w:r>
      <w:r>
        <w:rPr>
          <w:rFonts w:ascii="Times New Roman" w:hAnsi="Times New Roman" w:cs="Times New Roman"/>
          <w:sz w:val="16"/>
          <w:szCs w:val="16"/>
        </w:rPr>
        <w:t xml:space="preserve"> and (B) </w:t>
      </w:r>
      <w:r>
        <w:rPr>
          <w:rFonts w:hint="eastAsia" w:ascii="Times New Roman" w:hAnsi="Times New Roman" w:cs="Times New Roman"/>
          <w:sz w:val="16"/>
          <w:szCs w:val="16"/>
        </w:rPr>
        <w:t>progression-free survival</w:t>
      </w:r>
      <w:r>
        <w:rPr>
          <w:rFonts w:ascii="Times New Roman" w:hAnsi="Times New Roman" w:cs="Times New Roman"/>
          <w:sz w:val="16"/>
          <w:szCs w:val="16"/>
        </w:rPr>
        <w:t xml:space="preserve"> of 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>e</w:t>
      </w:r>
      <w:r>
        <w:rPr>
          <w:rFonts w:ascii="Times New Roman" w:hAnsi="Times New Roman" w:cs="Times New Roman"/>
          <w:sz w:val="16"/>
          <w:szCs w:val="16"/>
        </w:rPr>
        <w:t xml:space="preserve">ach 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>i</w:t>
      </w:r>
      <w:r>
        <w:rPr>
          <w:rFonts w:ascii="Times New Roman" w:hAnsi="Times New Roman" w:cs="Times New Roman"/>
          <w:sz w:val="16"/>
          <w:szCs w:val="16"/>
        </w:rPr>
        <w:t>ntervention.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pacing w:val="15"/>
          <w:sz w:val="16"/>
          <w:szCs w:val="16"/>
          <w:lang w:val="en-US" w:eastAsia="zh-CN"/>
        </w:rPr>
        <w:t xml:space="preserve">The order probability of pros and cons of each intervention is calculated using "Gemtc" package and "Rjags" package in R x64 </w:t>
      </w:r>
      <w:bookmarkStart w:id="1" w:name="_GoBack"/>
      <w:bookmarkEnd w:id="1"/>
      <w:r>
        <w:rPr>
          <w:rFonts w:hint="eastAsia" w:ascii="Times New Roman" w:hAnsi="Times New Roman" w:cs="Times New Roman"/>
          <w:color w:val="auto"/>
          <w:spacing w:val="15"/>
          <w:sz w:val="16"/>
          <w:szCs w:val="16"/>
          <w:lang w:val="en-US" w:eastAsia="zh-CN"/>
        </w:rPr>
        <w:t xml:space="preserve">4.1.3 softwares. The greater the value, the greater the probability of ranking. For </w:t>
      </w:r>
      <w:r>
        <w:rPr>
          <w:rFonts w:hint="eastAsia" w:ascii="Times New Roman" w:hAnsi="Times New Roman" w:cs="Times New Roman"/>
          <w:sz w:val="16"/>
          <w:szCs w:val="16"/>
        </w:rPr>
        <w:t>overall survival</w:t>
      </w: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  <w:color w:val="auto"/>
          <w:spacing w:val="15"/>
          <w:sz w:val="16"/>
          <w:szCs w:val="16"/>
          <w:lang w:val="en-US" w:eastAsia="zh-CN"/>
        </w:rPr>
        <w:t xml:space="preserve">toripalimab plus chemotherapy ranked the first with the highest probability of 0.39, and sintilimab plus chemotherapy ranked the second. For </w:t>
      </w:r>
      <w:r>
        <w:rPr>
          <w:rFonts w:hint="eastAsia" w:ascii="Times New Roman" w:hAnsi="Times New Roman" w:cs="Times New Roman"/>
          <w:sz w:val="16"/>
          <w:szCs w:val="16"/>
        </w:rPr>
        <w:t>progression-free survival</w:t>
      </w:r>
      <w:r>
        <w:rPr>
          <w:rFonts w:hint="eastAsia" w:ascii="Times New Roman" w:hAnsi="Times New Roman" w:cs="Times New Roman"/>
          <w:color w:val="auto"/>
          <w:spacing w:val="15"/>
          <w:sz w:val="16"/>
          <w:szCs w:val="16"/>
          <w:lang w:val="en-US" w:eastAsia="zh-CN"/>
        </w:rPr>
        <w:t xml:space="preserve">, </w:t>
      </w:r>
      <w:r>
        <w:rPr>
          <w:rFonts w:ascii="Times New Roman" w:hAnsi="Times New Roman" w:cs="Times New Roman"/>
          <w:color w:val="auto"/>
          <w:spacing w:val="15"/>
          <w:sz w:val="16"/>
          <w:szCs w:val="16"/>
        </w:rPr>
        <w:t>camrelizumab</w:t>
      </w:r>
      <w:r>
        <w:rPr>
          <w:rFonts w:hint="eastAsia" w:ascii="Times New Roman" w:hAnsi="Times New Roman" w:cs="Times New Roman"/>
          <w:color w:val="auto"/>
          <w:spacing w:val="15"/>
          <w:sz w:val="16"/>
          <w:szCs w:val="16"/>
          <w:lang w:val="en-US" w:eastAsia="zh-CN"/>
        </w:rPr>
        <w:t xml:space="preserve"> plus chemotherapy ranked first with the highest probability (0.30), followed by sintilimab plus chemotherap and toripalimab plus chemotherapy.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xMTNmZDIxOGQ3ZWQ5MTUxNTMxZDJjOWM1ZWRmZDcifQ=="/>
  </w:docVars>
  <w:rsids>
    <w:rsidRoot w:val="0C565080"/>
    <w:rsid w:val="01536B3C"/>
    <w:rsid w:val="0C565080"/>
    <w:rsid w:val="20D109C9"/>
    <w:rsid w:val="303B1965"/>
    <w:rsid w:val="35F646A9"/>
    <w:rsid w:val="3C8F196D"/>
    <w:rsid w:val="6C8A1CE4"/>
    <w:rsid w:val="6DCD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cs="Times New Roman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1006</Characters>
  <Lines>0</Lines>
  <Paragraphs>0</Paragraphs>
  <TotalTime>1</TotalTime>
  <ScaleCrop>false</ScaleCrop>
  <LinksUpToDate>false</LinksUpToDate>
  <CharactersWithSpaces>1100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2023-01-24T16:41:00Z</dcterms:created>
  <dc:creator>Cheung</dc:creator>
  <cp:lastModifiedBy>阳离子</cp:lastModifiedBy>
  <dcterms:modified xsi:type="dcterms:W3CDTF">2023-02-07T17:59:32Z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9A8B9FC63AF04A7F8F26BD3A3D31B228</vt:lpwstr>
  </property>
</Properties>
</file>