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gridSpan w:val="2"/>
            <w:tcBorders>
              <w:top w:val="single" w:color="auto" w:sz="8" w:space="0"/>
              <w:left w:val="nil"/>
              <w:bottom w:val="single" w:color="auto" w:sz="8" w:space="0"/>
              <w:right w:val="nil"/>
            </w:tcBorders>
            <w:shd w:val="clear" w:color="auto" w:fill="D0CECE" w:themeFill="background2" w:themeFillShade="E6"/>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O</w:t>
            </w:r>
            <w:r>
              <w:rPr>
                <w:rFonts w:ascii="Times New Roman" w:hAnsi="Times New Roman" w:cs="Times New Roman"/>
                <w:spacing w:val="15"/>
                <w:kern w:val="0"/>
                <w:sz w:val="20"/>
                <w:szCs w:val="20"/>
              </w:rPr>
              <w:t>S</w:t>
            </w:r>
          </w:p>
        </w:tc>
        <w:tc>
          <w:tcPr>
            <w:tcW w:w="4148" w:type="dxa"/>
            <w:gridSpan w:val="2"/>
            <w:tcBorders>
              <w:top w:val="single" w:color="auto" w:sz="8" w:space="0"/>
              <w:left w:val="nil"/>
              <w:bottom w:val="single" w:color="auto" w:sz="8" w:space="0"/>
              <w:right w:val="nil"/>
            </w:tcBorders>
            <w:shd w:val="clear" w:color="auto" w:fill="D0CECE" w:themeFill="background2" w:themeFillShade="E6"/>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P</w:t>
            </w:r>
            <w:r>
              <w:rPr>
                <w:rFonts w:ascii="Times New Roman" w:hAnsi="Times New Roman" w:cs="Times New Roman"/>
                <w:spacing w:val="15"/>
                <w:kern w:val="0"/>
                <w:sz w:val="20"/>
                <w:szCs w:val="20"/>
              </w:rPr>
              <w:t>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Borders>
              <w:top w:val="single" w:color="auto" w:sz="8" w:space="0"/>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Chemo</w:t>
            </w:r>
          </w:p>
        </w:tc>
        <w:tc>
          <w:tcPr>
            <w:tcW w:w="2074" w:type="dxa"/>
            <w:tcBorders>
              <w:top w:val="single" w:color="auto" w:sz="8" w:space="0"/>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.10</w:t>
            </w:r>
          </w:p>
        </w:tc>
        <w:tc>
          <w:tcPr>
            <w:tcW w:w="2074" w:type="dxa"/>
            <w:tcBorders>
              <w:top w:val="single" w:color="auto" w:sz="8" w:space="0"/>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Chemo</w:t>
            </w:r>
          </w:p>
        </w:tc>
        <w:tc>
          <w:tcPr>
            <w:tcW w:w="2074" w:type="dxa"/>
            <w:tcBorders>
              <w:top w:val="single" w:color="auto" w:sz="8" w:space="0"/>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Camre-chemo</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.54</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Camre-chemo</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Pem-chemo</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.49</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Pem-chemo</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Sint-chemo</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.67</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Sint-chemo</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Nivo-chemo</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.47</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Nivo-chemo</w:t>
            </w:r>
          </w:p>
        </w:tc>
        <w:tc>
          <w:tcPr>
            <w:tcW w:w="2074" w:type="dxa"/>
            <w:tcBorders>
              <w:top w:val="nil"/>
              <w:left w:val="nil"/>
              <w:bottom w:val="nil"/>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Borders>
              <w:top w:val="nil"/>
              <w:left w:val="nil"/>
              <w:bottom w:val="single" w:color="auto" w:sz="8" w:space="0"/>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Tori-chemo</w:t>
            </w:r>
          </w:p>
        </w:tc>
        <w:tc>
          <w:tcPr>
            <w:tcW w:w="2074" w:type="dxa"/>
            <w:tcBorders>
              <w:top w:val="nil"/>
              <w:left w:val="nil"/>
              <w:bottom w:val="single" w:color="auto" w:sz="8" w:space="0"/>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.73</w:t>
            </w:r>
          </w:p>
        </w:tc>
        <w:tc>
          <w:tcPr>
            <w:tcW w:w="2074" w:type="dxa"/>
            <w:tcBorders>
              <w:top w:val="nil"/>
              <w:left w:val="nil"/>
              <w:bottom w:val="single" w:color="auto" w:sz="8" w:space="0"/>
              <w:right w:val="nil"/>
            </w:tcBorders>
          </w:tcPr>
          <w:p>
            <w:pPr>
              <w:jc w:val="center"/>
              <w:rPr>
                <w:rFonts w:ascii="Times New Roman" w:hAnsi="Times New Roman" w:cs="Times New Roman"/>
                <w:spacing w:val="15"/>
                <w:kern w:val="0"/>
                <w:sz w:val="20"/>
                <w:szCs w:val="20"/>
              </w:rPr>
            </w:pPr>
            <w:r>
              <w:rPr>
                <w:rFonts w:ascii="Times New Roman" w:hAnsi="Times New Roman" w:cs="Times New Roman"/>
                <w:spacing w:val="15"/>
                <w:kern w:val="0"/>
                <w:sz w:val="20"/>
                <w:szCs w:val="20"/>
              </w:rPr>
              <w:t>Tori-chemo</w:t>
            </w:r>
          </w:p>
        </w:tc>
        <w:tc>
          <w:tcPr>
            <w:tcW w:w="2074" w:type="dxa"/>
            <w:tcBorders>
              <w:top w:val="nil"/>
              <w:left w:val="nil"/>
              <w:bottom w:val="single" w:color="auto" w:sz="8" w:space="0"/>
              <w:right w:val="nil"/>
            </w:tcBorders>
          </w:tcPr>
          <w:p>
            <w:pPr>
              <w:jc w:val="center"/>
              <w:rPr>
                <w:rFonts w:ascii="Times New Roman" w:hAnsi="Times New Roman" w:cs="Times New Roman"/>
                <w:spacing w:val="15"/>
                <w:kern w:val="0"/>
                <w:sz w:val="20"/>
                <w:szCs w:val="20"/>
              </w:rPr>
            </w:pPr>
            <w:r>
              <w:rPr>
                <w:rFonts w:hint="eastAsia" w:ascii="Times New Roman" w:hAnsi="Times New Roman" w:cs="Times New Roman"/>
                <w:spacing w:val="15"/>
                <w:kern w:val="0"/>
                <w:sz w:val="20"/>
                <w:szCs w:val="20"/>
              </w:rPr>
              <w:t>0</w:t>
            </w:r>
            <w:r>
              <w:rPr>
                <w:rFonts w:ascii="Times New Roman" w:hAnsi="Times New Roman" w:cs="Times New Roman"/>
                <w:spacing w:val="15"/>
                <w:kern w:val="0"/>
                <w:sz w:val="20"/>
                <w:szCs w:val="20"/>
              </w:rPr>
              <w:t>.65</w:t>
            </w:r>
          </w:p>
        </w:tc>
      </w:tr>
    </w:tbl>
    <w:p>
      <w:r>
        <w:rPr>
          <w:rFonts w:hint="eastAsia" w:ascii="Times New Roman" w:hAnsi="Times New Roman" w:cs="Times New Roman"/>
          <w:sz w:val="16"/>
          <w:szCs w:val="16"/>
        </w:rPr>
        <w:t xml:space="preserve">Supplementary File </w:t>
      </w:r>
      <w:r>
        <w:rPr>
          <w:rFonts w:hint="eastAsia" w:ascii="Times New Roman" w:hAnsi="Times New Roman" w:cs="Times New Roman"/>
          <w:sz w:val="16"/>
          <w:szCs w:val="16"/>
          <w:lang w:val="en-US" w:eastAsia="zh-CN"/>
        </w:rPr>
        <w:t>6</w:t>
      </w:r>
      <w:bookmarkStart w:id="0" w:name="_GoBack"/>
      <w:bookmarkEnd w:id="0"/>
      <w:r>
        <w:rPr>
          <w:rFonts w:hint="eastAsia" w:ascii="Times New Roman" w:hAnsi="Times New Roman" w:cs="Times New Roman"/>
          <w:sz w:val="16"/>
          <w:szCs w:val="16"/>
          <w:lang w:val="en-US" w:eastAsia="zh-CN"/>
        </w:rPr>
        <w:t>.</w:t>
      </w:r>
      <w:r>
        <w:rPr>
          <w:rFonts w:ascii="Times New Roman" w:hAnsi="Times New Roman" w:cs="Times New Roman"/>
          <w:sz w:val="16"/>
          <w:szCs w:val="16"/>
        </w:rPr>
        <w:t xml:space="preserve"> Surface Under the Cumulative Ranking (SUCRA).</w:t>
      </w:r>
      <w:r>
        <w:rPr>
          <w:rFonts w:hint="eastAsia" w:ascii="Times New Roman" w:hAnsi="Times New Roman" w:cs="Times New Roman"/>
          <w:sz w:val="16"/>
          <w:szCs w:val="16"/>
          <w:lang w:val="en-US" w:eastAsia="zh-CN"/>
        </w:rPr>
        <w:t xml:space="preserve"> </w:t>
      </w:r>
      <w:r>
        <w:rPr>
          <w:rFonts w:hint="eastAsia" w:ascii="Times New Roman" w:hAnsi="Times New Roman" w:cs="Times New Roman"/>
          <w:color w:val="auto"/>
          <w:spacing w:val="15"/>
          <w:sz w:val="16"/>
          <w:szCs w:val="16"/>
          <w:lang w:val="en-US" w:eastAsia="zh-CN"/>
        </w:rPr>
        <w:t xml:space="preserve">The preferred probability ranking of OS and PFS for each intervention. For OS, toripalimab plus chemotherapy may be considered the best treatment. For PFS, sintilimab plus chemotherapy may be considered the best treatment, followed by sintilimab plus chemotherap and toripalimab plus chemotherapy, consistent with the order probability of pros and cons results. </w:t>
      </w:r>
      <w:r>
        <w:rPr>
          <w:rFonts w:hint="eastAsia" w:ascii="Times New Roman" w:hAnsi="Times New Roman" w:cs="Times New Roman"/>
          <w:color w:val="auto"/>
          <w:spacing w:val="15"/>
          <w:sz w:val="16"/>
          <w:szCs w:val="16"/>
        </w:rPr>
        <w:t>SUCRA values range from 1, being the best without uncertainty, to 0, being the worst without uncertainty.</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xMTNmZDIxOGQ3ZWQ5MTUxNTMxZDJjOWM1ZWRmZDcifQ=="/>
  </w:docVars>
  <w:rsids>
    <w:rsidRoot w:val="0497446D"/>
    <w:rsid w:val="0497446D"/>
    <w:rsid w:val="3ADF4674"/>
    <w:rsid w:val="4F9F335D"/>
    <w:rsid w:val="594771DA"/>
    <w:rsid w:val="5FAC2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rPr>
      <w:rFonts w:cs="Times New Roman"/>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Words>
  <Characters>622</Characters>
  <Lines>0</Lines>
  <Paragraphs>0</Paragraphs>
  <TotalTime>0</TotalTime>
  <ScaleCrop>false</ScaleCrop>
  <LinksUpToDate>false</LinksUpToDate>
  <CharactersWithSpaces>699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2023-01-24T16:41:00Z</dcterms:created>
  <dc:creator>Cheung</dc:creator>
  <cp:lastModifiedBy>阳离子</cp:lastModifiedBy>
  <dcterms:modified xsi:type="dcterms:W3CDTF">2023-02-07T18:00:21Z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777CBD9138734F62A9EE624CCA924F33</vt:lpwstr>
  </property>
</Properties>
</file>