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360" w:lineRule="auto"/>
        <w:jc w:val="right"/>
        <w:rPr>
          <w:rStyle w:val="13"/>
          <w:rFonts w:hint="default" w:ascii="Arial" w:hAnsi="Arial" w:cs="Arial"/>
          <w:b w:val="0"/>
          <w:sz w:val="36"/>
          <w:szCs w:val="36"/>
        </w:rPr>
      </w:pPr>
      <w:r>
        <w:rPr>
          <w:rFonts w:hint="default" w:ascii="Arial" w:hAnsi="Arial" w:cs="Arial"/>
          <w:sz w:val="24"/>
          <w:szCs w:val="32"/>
        </w:rPr>
        <w:t>Supplemental tables for</w:t>
      </w:r>
    </w:p>
    <w:p>
      <w:pPr>
        <w:pStyle w:val="2"/>
        <w:spacing w:line="360" w:lineRule="auto"/>
        <w:rPr>
          <w:rStyle w:val="13"/>
          <w:rFonts w:hint="default" w:ascii="Arial" w:hAnsi="Arial" w:cs="Arial"/>
          <w:b/>
          <w:bCs w:val="0"/>
          <w:sz w:val="30"/>
          <w:szCs w:val="30"/>
        </w:rPr>
      </w:pPr>
      <w:r>
        <w:rPr>
          <w:rStyle w:val="13"/>
          <w:rFonts w:hint="default" w:ascii="Arial" w:hAnsi="Arial" w:cs="Arial"/>
          <w:b/>
          <w:bCs w:val="0"/>
          <w:sz w:val="30"/>
          <w:szCs w:val="30"/>
        </w:rPr>
        <w:t>A robust, rapid and easy-to-use HPLC-MS/MS method for simultaneous determination</w:t>
      </w:r>
      <w:r>
        <w:rPr>
          <w:rFonts w:hint="default" w:ascii="Arial" w:hAnsi="Arial" w:cs="Arial"/>
          <w:b w:val="0"/>
          <w:sz w:val="30"/>
          <w:szCs w:val="30"/>
        </w:rPr>
        <w:t xml:space="preserve"> </w:t>
      </w:r>
      <w:r>
        <w:rPr>
          <w:rStyle w:val="13"/>
          <w:rFonts w:hint="default" w:ascii="Arial" w:hAnsi="Arial" w:cs="Arial"/>
          <w:b/>
          <w:bCs w:val="0"/>
          <w:sz w:val="30"/>
          <w:szCs w:val="30"/>
        </w:rPr>
        <w:t>of four antibiotics in human plasma and its application to therapeutic</w:t>
      </w:r>
      <w:r>
        <w:rPr>
          <w:rFonts w:hint="default" w:ascii="Arial" w:hAnsi="Arial" w:cs="Arial"/>
          <w:b w:val="0"/>
          <w:sz w:val="30"/>
          <w:szCs w:val="30"/>
        </w:rPr>
        <w:t xml:space="preserve"> </w:t>
      </w:r>
      <w:r>
        <w:rPr>
          <w:rStyle w:val="13"/>
          <w:rFonts w:hint="default" w:ascii="Arial" w:hAnsi="Arial" w:cs="Arial"/>
          <w:b/>
          <w:bCs w:val="0"/>
          <w:sz w:val="30"/>
          <w:szCs w:val="30"/>
        </w:rPr>
        <w:t>drug monitoring</w:t>
      </w:r>
    </w:p>
    <w:p>
      <w:pPr>
        <w:spacing w:line="360" w:lineRule="auto"/>
        <w:rPr>
          <w:rStyle w:val="13"/>
          <w:rFonts w:hint="default" w:ascii="Arial" w:hAnsi="Arial" w:cs="Arial"/>
          <w:b w:val="0"/>
          <w:bCs w:val="0"/>
          <w:i/>
          <w:iCs/>
          <w:sz w:val="24"/>
          <w:szCs w:val="24"/>
        </w:rPr>
      </w:pPr>
      <w:r>
        <w:rPr>
          <w:rStyle w:val="13"/>
          <w:rFonts w:hint="default" w:ascii="Arial" w:hAnsi="Arial" w:cs="Arial"/>
          <w:b w:val="0"/>
          <w:bCs w:val="0"/>
          <w:i/>
          <w:iCs/>
          <w:sz w:val="24"/>
          <w:szCs w:val="24"/>
        </w:rPr>
        <w:t>Hongchuan Liu, MD, Xiaojia Yu, MD, Ting Hu, PhD, Pengfei Li, MD, Zhuoling An, PhD,</w:t>
      </w:r>
      <w:r>
        <w:rPr>
          <w:rStyle w:val="13"/>
          <w:rFonts w:hint="default" w:ascii="Arial" w:hAnsi="Arial" w:cs="Arial"/>
          <w:b w:val="0"/>
          <w:bCs w:val="0"/>
          <w:i/>
          <w:iCs/>
          <w:sz w:val="24"/>
          <w:szCs w:val="24"/>
          <w:vertAlign w:val="superscript"/>
        </w:rPr>
        <w:t>*</w:t>
      </w:r>
      <w:r>
        <w:rPr>
          <w:rStyle w:val="13"/>
          <w:rFonts w:hint="default" w:ascii="Arial" w:hAnsi="Arial" w:cs="Arial"/>
          <w:b w:val="0"/>
          <w:bCs w:val="0"/>
          <w:i/>
          <w:iCs/>
          <w:sz w:val="24"/>
          <w:szCs w:val="24"/>
        </w:rPr>
        <w:t xml:space="preserve"> and Rui Zhao, PhD</w:t>
      </w:r>
      <w:r>
        <w:rPr>
          <w:rStyle w:val="13"/>
          <w:rFonts w:hint="default" w:ascii="Arial" w:hAnsi="Arial" w:cs="Arial"/>
          <w:b w:val="0"/>
          <w:bCs w:val="0"/>
          <w:i/>
          <w:iCs/>
          <w:sz w:val="24"/>
          <w:szCs w:val="24"/>
          <w:vertAlign w:val="superscript"/>
        </w:rPr>
        <w:t>*</w:t>
      </w:r>
    </w:p>
    <w:p>
      <w:pPr>
        <w:spacing w:line="360" w:lineRule="auto"/>
        <w:rPr>
          <w:rFonts w:hint="default" w:ascii="Arial" w:hAnsi="Arial" w:cs="Arial"/>
          <w:i/>
          <w:color w:val="000000"/>
          <w:sz w:val="24"/>
        </w:rPr>
      </w:pPr>
      <w:r>
        <w:rPr>
          <w:rFonts w:hint="default" w:ascii="Arial" w:hAnsi="Arial" w:cs="Arial"/>
          <w:i/>
          <w:color w:val="000000"/>
          <w:sz w:val="24"/>
        </w:rPr>
        <w:t>Department of Pharmacy, Beijing Chao-yang Hospital</w:t>
      </w:r>
      <w:bookmarkStart w:id="0" w:name="_Hlk96330862"/>
      <w:r>
        <w:rPr>
          <w:rFonts w:hint="default" w:ascii="Arial" w:hAnsi="Arial" w:cs="Arial"/>
          <w:i/>
          <w:color w:val="000000"/>
          <w:sz w:val="24"/>
        </w:rPr>
        <w:t>, Capital Medical University</w:t>
      </w:r>
      <w:bookmarkEnd w:id="0"/>
      <w:r>
        <w:rPr>
          <w:rFonts w:hint="default" w:ascii="Arial" w:hAnsi="Arial" w:cs="Arial"/>
          <w:i/>
          <w:color w:val="000000"/>
          <w:sz w:val="24"/>
        </w:rPr>
        <w:t>, Beijing 100020, China</w:t>
      </w:r>
    </w:p>
    <w:p>
      <w:pPr>
        <w:spacing w:line="360" w:lineRule="auto"/>
        <w:jc w:val="left"/>
        <w:rPr>
          <w:rFonts w:hint="default" w:ascii="Arial" w:hAnsi="Arial" w:cs="Arial"/>
          <w:color w:val="000000"/>
          <w:sz w:val="24"/>
        </w:rPr>
      </w:pPr>
      <w:bookmarkStart w:id="2" w:name="_GoBack"/>
      <w:bookmarkEnd w:id="2"/>
      <w:r>
        <w:rPr>
          <w:rFonts w:hint="default" w:ascii="Arial" w:hAnsi="Arial" w:cs="Arial"/>
          <w:b/>
          <w:color w:val="000000"/>
          <w:sz w:val="24"/>
        </w:rPr>
        <w:t>Supplemental Table S1</w:t>
      </w:r>
      <w:r>
        <w:rPr>
          <w:rFonts w:hint="default" w:ascii="Arial" w:hAnsi="Arial" w:cs="Arial"/>
          <w:color w:val="000000"/>
          <w:sz w:val="24"/>
        </w:rPr>
        <w:t>. Mass spectrometry operating parameters</w:t>
      </w:r>
    </w:p>
    <w:tbl>
      <w:tblPr>
        <w:tblStyle w:val="7"/>
        <w:tblW w:w="9673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89"/>
        <w:gridCol w:w="1589"/>
        <w:gridCol w:w="1583"/>
        <w:gridCol w:w="1583"/>
        <w:gridCol w:w="159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Analytes</w:t>
            </w:r>
          </w:p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and IS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Q1(</w:t>
            </w:r>
            <w:r>
              <w:rPr>
                <w:rFonts w:hint="default" w:ascii="Arial" w:hAnsi="Arial" w:cs="Arial"/>
                <w:i/>
                <w:color w:val="000000"/>
                <w:szCs w:val="21"/>
              </w:rPr>
              <w:t>m/z</w:t>
            </w:r>
            <w:r>
              <w:rPr>
                <w:rFonts w:hint="default"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Q3(</w:t>
            </w:r>
            <w:r>
              <w:rPr>
                <w:rFonts w:hint="default" w:ascii="Arial" w:hAnsi="Arial" w:cs="Arial"/>
                <w:i/>
                <w:color w:val="000000"/>
                <w:szCs w:val="21"/>
              </w:rPr>
              <w:t>m/z</w:t>
            </w:r>
            <w:r>
              <w:rPr>
                <w:rFonts w:hint="default"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DP(V)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CE(V)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RT(min)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linezolid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338.2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296.3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65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21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2.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87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voriconazole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350.2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127.1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65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40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3.12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cefoperazone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646.2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143.0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38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45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2.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73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fluconazole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307.2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220.1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60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cs="Arial"/>
                <w:color w:val="000000"/>
                <w:szCs w:val="21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22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</w:rPr>
              <w:t>2.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l</w:t>
            </w:r>
            <w:r>
              <w:rPr>
                <w:rFonts w:hint="default" w:ascii="Arial" w:hAnsi="Arial" w:cs="Arial"/>
                <w:color w:val="000000"/>
                <w:szCs w:val="21"/>
              </w:rPr>
              <w:t>inezolid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-d3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341.2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297.1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65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2.85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  <w:vAlign w:val="top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v</w:t>
            </w:r>
            <w:r>
              <w:rPr>
                <w:rFonts w:hint="default" w:ascii="Arial" w:hAnsi="Arial" w:cs="Arial"/>
                <w:color w:val="000000"/>
                <w:szCs w:val="21"/>
              </w:rPr>
              <w:t>oriconazole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-d3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353.1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127.2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65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32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3.10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38" w:type="dxa"/>
            <w:tcBorders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f</w:t>
            </w:r>
            <w:r>
              <w:rPr>
                <w:rFonts w:hint="default" w:ascii="Arial" w:hAnsi="Arial" w:cs="Arial"/>
                <w:color w:val="000000"/>
                <w:szCs w:val="21"/>
              </w:rPr>
              <w:t>luconazole</w:t>
            </w: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-d4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311.3</w:t>
            </w:r>
          </w:p>
        </w:tc>
        <w:tc>
          <w:tcPr>
            <w:tcW w:w="158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223.1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80</w:t>
            </w:r>
          </w:p>
        </w:tc>
        <w:tc>
          <w:tcPr>
            <w:tcW w:w="158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1591" w:type="dxa"/>
            <w:tcBorders>
              <w:left w:val="nil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color w:val="000000"/>
                <w:szCs w:val="21"/>
                <w:lang w:val="en-US" w:eastAsia="zh-CN"/>
              </w:rPr>
              <w:t>2.83</w:t>
            </w:r>
          </w:p>
        </w:tc>
      </w:tr>
    </w:tbl>
    <w:p>
      <w:pPr>
        <w:spacing w:line="360" w:lineRule="auto"/>
        <w:jc w:val="left"/>
        <w:rPr>
          <w:rFonts w:hint="default" w:ascii="Arial" w:hAnsi="Arial" w:cs="Arial"/>
          <w:color w:val="000000"/>
          <w:sz w:val="24"/>
        </w:rPr>
      </w:pPr>
    </w:p>
    <w:p>
      <w:pPr>
        <w:spacing w:line="360" w:lineRule="auto"/>
        <w:ind w:left="482" w:hanging="482" w:hangingChars="200"/>
        <w:jc w:val="left"/>
        <w:rPr>
          <w:rFonts w:hint="default" w:ascii="Arial" w:hAnsi="Arial" w:cs="Arial"/>
          <w:color w:val="000000"/>
          <w:sz w:val="24"/>
        </w:rPr>
      </w:pPr>
      <w:bookmarkStart w:id="1" w:name="_Hlk100672748"/>
      <w:r>
        <w:rPr>
          <w:rFonts w:hint="default" w:ascii="Arial" w:hAnsi="Arial" w:cs="Arial"/>
          <w:b/>
          <w:color w:val="000000"/>
          <w:sz w:val="24"/>
        </w:rPr>
        <w:t>Supplementa</w:t>
      </w:r>
      <w:bookmarkEnd w:id="1"/>
      <w:r>
        <w:rPr>
          <w:rFonts w:hint="default" w:ascii="Arial" w:hAnsi="Arial" w:cs="Arial"/>
          <w:b/>
          <w:color w:val="000000"/>
          <w:sz w:val="24"/>
        </w:rPr>
        <w:t>l Table S</w:t>
      </w:r>
      <w:r>
        <w:rPr>
          <w:rFonts w:hint="eastAsia" w:ascii="Arial" w:hAnsi="Arial" w:cs="Arial"/>
          <w:b/>
          <w:color w:val="000000"/>
          <w:sz w:val="24"/>
          <w:lang w:val="en-US" w:eastAsia="zh-CN"/>
        </w:rPr>
        <w:t>2</w:t>
      </w:r>
      <w:r>
        <w:rPr>
          <w:rFonts w:hint="default" w:ascii="Arial" w:hAnsi="Arial" w:cs="Arial"/>
          <w:b/>
          <w:color w:val="000000"/>
          <w:sz w:val="24"/>
        </w:rPr>
        <w:t xml:space="preserve">. </w:t>
      </w:r>
      <w:r>
        <w:rPr>
          <w:rFonts w:hint="default" w:ascii="Arial" w:hAnsi="Arial" w:cs="Arial"/>
          <w:color w:val="000000"/>
          <w:sz w:val="24"/>
        </w:rPr>
        <w:t>Stability of linezolid, voriconazole, cefoperazone and fluconazole under tested conditions (n =6)</w:t>
      </w:r>
    </w:p>
    <w:tbl>
      <w:tblPr>
        <w:tblStyle w:val="7"/>
        <w:tblW w:w="1492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33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767"/>
        <w:gridCol w:w="1097"/>
        <w:gridCol w:w="767"/>
        <w:gridCol w:w="1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Analyte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Nominal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Concentration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(μg/mL)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24 h post-preparative stability in the autosampler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Freeze-thaw for 3 cycles at -70</w:t>
            </w: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  <w:lang w:eastAsia="ja-JP"/>
              </w:rPr>
              <w:t>℃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24 hours in plasma at room temperature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5 days in plasma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 xml:space="preserve"> at 4°C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90 days in plasma at -70</w:t>
            </w: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  <w:lang w:eastAsia="ja-JP"/>
              </w:rPr>
              <w:t>℃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24 hours in whole blood at room temperature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5 days in whole blood at 4°C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Accuracy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 (CV%)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Accuracy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 (CV%)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Accuracy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 (CV%)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Accuracy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 (CV%)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Accuracy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 (CV%)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Bias* (%)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Precision** (CV%)</w:t>
            </w: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Bias* (%)</w:t>
            </w:r>
          </w:p>
        </w:tc>
        <w:tc>
          <w:tcPr>
            <w:tcW w:w="106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Precision**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(CV%)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linezolid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6.45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3.23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5.70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2.56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108.41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5.88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2.64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105.33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2.22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99.67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95.32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1.32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104.71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24.00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92.00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93.12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1.70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93.54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93.62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3.24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94.52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1.01</w:t>
            </w:r>
          </w:p>
        </w:tc>
        <w:tc>
          <w:tcPr>
            <w:tcW w:w="71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98.36</w:t>
            </w:r>
          </w:p>
        </w:tc>
        <w:tc>
          <w:tcPr>
            <w:tcW w:w="10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12.50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12.50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6.25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8.87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107.49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3.96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104.59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3.27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4.67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1.97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98.67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2.16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91.70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2.27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104.84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5.25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12.00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101.83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3.68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101.25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99.33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102.25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3.18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100.83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93.44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1.80</w:t>
            </w:r>
          </w:p>
        </w:tc>
        <w:tc>
          <w:tcPr>
            <w:tcW w:w="71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97.55</w:t>
            </w:r>
          </w:p>
        </w:tc>
        <w:tc>
          <w:tcPr>
            <w:tcW w:w="10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cefoperazone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98.33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5.93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10.34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3.45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9.48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92.50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3.64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105.06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12.38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110.11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12.00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95.25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4.64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95.67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2.79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98.75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3.63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94.58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1.91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94.64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99.88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8.66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96.00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104.14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102.94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2.87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1.43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104.92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3.35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105.07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95.86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71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98.29</w:t>
            </w:r>
          </w:p>
        </w:tc>
        <w:tc>
          <w:tcPr>
            <w:tcW w:w="10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  <w:t>fluconazole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0.30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9.68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9.38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103.33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8.32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99.54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104.51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6.43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99.67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3.68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102.67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4.22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2.33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105.00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3.17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2.48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95.20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1.02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101.76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5.50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24.00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92.50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3.20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93.12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sz w:val="18"/>
                <w:szCs w:val="18"/>
              </w:rPr>
              <w:t>2.55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92.00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3.22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96.25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1.65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94.71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93.40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1.91</w:t>
            </w:r>
          </w:p>
        </w:tc>
        <w:tc>
          <w:tcPr>
            <w:tcW w:w="71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97.32</w:t>
            </w:r>
          </w:p>
        </w:tc>
        <w:tc>
          <w:tcPr>
            <w:tcW w:w="10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color w:val="000000"/>
                <w:kern w:val="0"/>
                <w:sz w:val="18"/>
                <w:szCs w:val="18"/>
              </w:rPr>
              <w:t>2.82</w:t>
            </w:r>
          </w:p>
        </w:tc>
      </w:tr>
    </w:tbl>
    <w:p>
      <w:pPr>
        <w:widowControl/>
        <w:spacing w:line="360" w:lineRule="auto"/>
        <w:jc w:val="left"/>
        <w:rPr>
          <w:rFonts w:hint="default" w:ascii="Arial" w:hAnsi="Arial" w:cs="Arial"/>
          <w:bCs/>
          <w:color w:val="000000"/>
          <w:kern w:val="0"/>
          <w:sz w:val="18"/>
          <w:szCs w:val="18"/>
        </w:rPr>
      </w:pPr>
      <w:r>
        <w:rPr>
          <w:rFonts w:hint="default" w:ascii="Arial" w:hAnsi="Arial" w:cs="Arial"/>
          <w:bCs/>
          <w:color w:val="000000"/>
          <w:kern w:val="0"/>
          <w:sz w:val="18"/>
          <w:szCs w:val="18"/>
        </w:rPr>
        <w:t>* The percentage of the average peak area of the stable samples to the average peak area of freshly prepared drug-containing whole blood samples</w:t>
      </w:r>
    </w:p>
    <w:p>
      <w:pPr>
        <w:widowControl/>
        <w:spacing w:line="360" w:lineRule="auto"/>
        <w:jc w:val="left"/>
        <w:rPr>
          <w:rFonts w:hint="default" w:ascii="Arial" w:hAnsi="Arial" w:cs="Arial"/>
          <w:bCs/>
          <w:color w:val="000000"/>
          <w:kern w:val="0"/>
          <w:sz w:val="18"/>
          <w:szCs w:val="18"/>
        </w:rPr>
      </w:pPr>
      <w:r>
        <w:rPr>
          <w:rFonts w:hint="default" w:ascii="Arial" w:hAnsi="Arial" w:cs="Arial"/>
          <w:bCs/>
          <w:color w:val="000000"/>
          <w:kern w:val="0"/>
          <w:sz w:val="18"/>
          <w:szCs w:val="18"/>
        </w:rPr>
        <w:t>**Peak area precision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pjnnvAdvTT3713a231+2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czN2MxNGNjYTFlZjcyYmM0NGJhN2MwMDYxZTcyODgifQ=="/>
    <w:docVar w:name="KY_MEDREF_DOCUID" w:val="{0E2A4CEE-4E23-40EC-827B-554B5BF84885}"/>
    <w:docVar w:name="KY_MEDREF_VERSION" w:val="3"/>
  </w:docVars>
  <w:rsids>
    <w:rsidRoot w:val="00C77319"/>
    <w:rsid w:val="000D4492"/>
    <w:rsid w:val="000D5240"/>
    <w:rsid w:val="000F1864"/>
    <w:rsid w:val="00135C15"/>
    <w:rsid w:val="00177052"/>
    <w:rsid w:val="00203FE3"/>
    <w:rsid w:val="00210BD4"/>
    <w:rsid w:val="00221812"/>
    <w:rsid w:val="00330C49"/>
    <w:rsid w:val="00407A17"/>
    <w:rsid w:val="00543462"/>
    <w:rsid w:val="00544713"/>
    <w:rsid w:val="005B078E"/>
    <w:rsid w:val="006F1541"/>
    <w:rsid w:val="007464FF"/>
    <w:rsid w:val="00796582"/>
    <w:rsid w:val="007C4255"/>
    <w:rsid w:val="00803A1F"/>
    <w:rsid w:val="0083032E"/>
    <w:rsid w:val="008651FA"/>
    <w:rsid w:val="008928E6"/>
    <w:rsid w:val="008F01C1"/>
    <w:rsid w:val="00920606"/>
    <w:rsid w:val="00965B17"/>
    <w:rsid w:val="00A5757A"/>
    <w:rsid w:val="00AA5D93"/>
    <w:rsid w:val="00AB1069"/>
    <w:rsid w:val="00B1072B"/>
    <w:rsid w:val="00B112ED"/>
    <w:rsid w:val="00B340D2"/>
    <w:rsid w:val="00B451AF"/>
    <w:rsid w:val="00BC23CD"/>
    <w:rsid w:val="00C77319"/>
    <w:rsid w:val="00CE2075"/>
    <w:rsid w:val="00CE20BA"/>
    <w:rsid w:val="00D8598E"/>
    <w:rsid w:val="00DA3436"/>
    <w:rsid w:val="00DF5519"/>
    <w:rsid w:val="00E05F3C"/>
    <w:rsid w:val="00E90B43"/>
    <w:rsid w:val="00EB5AFA"/>
    <w:rsid w:val="00EF7F35"/>
    <w:rsid w:val="00F011EF"/>
    <w:rsid w:val="00F330EE"/>
    <w:rsid w:val="00F65CB9"/>
    <w:rsid w:val="00FD3F57"/>
    <w:rsid w:val="07D20092"/>
    <w:rsid w:val="28261FFF"/>
    <w:rsid w:val="47685AAD"/>
    <w:rsid w:val="546F60F7"/>
    <w:rsid w:val="7FFF02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ntstyle01"/>
    <w:basedOn w:val="9"/>
    <w:qFormat/>
    <w:uiPriority w:val="0"/>
    <w:rPr>
      <w:rFonts w:hint="default" w:ascii="TimesNewRomanPS-BoldMT" w:hAnsi="TimesNewRomanPS-BoldMT"/>
      <w:b/>
      <w:bCs/>
      <w:color w:val="000000"/>
      <w:sz w:val="18"/>
      <w:szCs w:val="18"/>
    </w:rPr>
  </w:style>
  <w:style w:type="character" w:customStyle="1" w:styleId="14">
    <w:name w:val="fontstyle21"/>
    <w:basedOn w:val="9"/>
    <w:qFormat/>
    <w:uiPriority w:val="0"/>
    <w:rPr>
      <w:rFonts w:hint="default" w:ascii="TimesNewRomanPSMT" w:hAnsi="TimesNewRomanPSMT"/>
      <w:color w:val="000000"/>
      <w:sz w:val="18"/>
      <w:szCs w:val="18"/>
    </w:rPr>
  </w:style>
  <w:style w:type="character" w:customStyle="1" w:styleId="15">
    <w:name w:val="fontstyle11"/>
    <w:basedOn w:val="9"/>
    <w:qFormat/>
    <w:uiPriority w:val="0"/>
    <w:rPr>
      <w:rFonts w:hint="default" w:ascii="MpjnnvAdvTT3713a231+20" w:hAnsi="MpjnnvAdvTT3713a231+20"/>
      <w:color w:val="131413"/>
      <w:sz w:val="20"/>
      <w:szCs w:val="20"/>
    </w:rPr>
  </w:style>
  <w:style w:type="character" w:customStyle="1" w:styleId="16">
    <w:name w:val="标题 字符"/>
    <w:basedOn w:val="9"/>
    <w:link w:val="6"/>
    <w:qFormat/>
    <w:uiPriority w:val="10"/>
    <w:rPr>
      <w:rFonts w:ascii="等线 Light" w:hAnsi="等线 Light" w:eastAsia="宋体" w:cs="Times New Roman"/>
      <w:b/>
      <w:bCs/>
      <w:sz w:val="32"/>
      <w:szCs w:val="32"/>
    </w:rPr>
  </w:style>
  <w:style w:type="character" w:customStyle="1" w:styleId="17">
    <w:name w:val="标题 1 字符"/>
    <w:basedOn w:val="9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421</Words>
  <Characters>2205</Characters>
  <Lines>22</Lines>
  <Paragraphs>6</Paragraphs>
  <TotalTime>13</TotalTime>
  <ScaleCrop>false</ScaleCrop>
  <LinksUpToDate>false</LinksUpToDate>
  <CharactersWithSpaces>2352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2020-11-16T00:46:00Z</dcterms:created>
  <dc:creator>西柚</dc:creator>
  <cp:lastModifiedBy>Zhao Rui</cp:lastModifiedBy>
  <dcterms:modified xsi:type="dcterms:W3CDTF">2023-03-23T13:26:34Z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45AB352BB89E438AB716D3807B7538C2</vt:lpwstr>
  </property>
</Properties>
</file>