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="Times New Roman" w:hAnsi="Times New Roman" w:eastAsia="宋体" w:cs="Times New Roman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Supporting Information</w:t>
      </w:r>
    </w:p>
    <w:p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Cascade Biomimetic </w:t>
      </w:r>
      <w:r>
        <w:rPr>
          <w:rFonts w:ascii="Times New Roman" w:hAnsi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Intelligent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GulliverRM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N</w:t>
      </w:r>
      <w:r>
        <w:rPr>
          <w:rFonts w:ascii="Times New Roman" w:hAnsi="Times New Roman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a</w:t>
      </w:r>
      <w:r>
        <w:rPr>
          <w:rFonts w:ascii="Times New Roman" w:hAnsi="Times New Roman" w:eastAsia="GulliverRM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notheranostic Agents for Imaging Guiding Tumor 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Synergistic Therapy</w:t>
      </w:r>
    </w:p>
    <w:p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Zhengzou Fang,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1*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Ziyu Zhu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2*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Zijian zhuang,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Zhangzuo Li,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Cheng Yan,</w:t>
      </w:r>
      <w:r>
        <w:rPr>
          <w:rFonts w:hint="eastAsia" w:ascii="Times New Roman" w:hAnsi="Times New Roman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Mengting Yang,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Qian Chen,</w:t>
      </w:r>
      <w:r>
        <w:rPr>
          <w:rFonts w:ascii="Times New Roman" w:hAnsi="Times New Roman" w:cs="Times New Roman"/>
          <w:bCs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Xinyuan Li,</w:t>
      </w:r>
      <w:r>
        <w:rPr>
          <w:rFonts w:hint="eastAsia" w:ascii="Times New Roman" w:hAnsi="Times New Roman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Aihua Gong</w:t>
      </w:r>
      <w:r>
        <w:rPr>
          <w:rFonts w:ascii="Times New Roman" w:hAnsi="Times New Roman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</w:p>
    <w:p>
      <w:pPr>
        <w:numPr>
          <w:ilvl w:val="0"/>
          <w:numId w:val="1"/>
        </w:numPr>
        <w:spacing w:line="360" w:lineRule="auto"/>
        <w:outlineLvl w:val="0"/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Hematological Disease Institute of Jiangsu University</w:t>
      </w:r>
      <w:r>
        <w:rPr>
          <w:rFonts w:hint="eastAsia"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Affiliated Hospital of Jiangsu University, Zhenjiang, 212001</w:t>
      </w:r>
      <w:r>
        <w:rPr>
          <w:rFonts w:hint="eastAsia"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, China.</w:t>
      </w:r>
    </w:p>
    <w:p>
      <w:pPr>
        <w:widowControl/>
        <w:numPr>
          <w:ilvl w:val="0"/>
          <w:numId w:val="1"/>
        </w:numPr>
        <w:spacing w:line="360" w:lineRule="auto"/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The Affi</w:t>
      </w:r>
      <w:r>
        <w:rPr>
          <w:rFonts w:hint="eastAsia" w:ascii="Times New Roman" w:hAnsi="Times New Roman" w:eastAsia="宋体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l</w:t>
      </w:r>
      <w:r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iated Huai’an Hospital of Xuzhou Medical University and The Second</w:t>
      </w:r>
      <w:r>
        <w:rPr>
          <w:rFonts w:hint="eastAsia"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People’s Hospital of Huai’an, No. 62, Huaihai Road (S.), Huai’an 223002, China.</w:t>
      </w:r>
    </w:p>
    <w:p>
      <w:pPr>
        <w:widowControl/>
        <w:numPr>
          <w:ilvl w:val="0"/>
          <w:numId w:val="1"/>
        </w:numPr>
        <w:spacing w:line="360" w:lineRule="auto"/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Nanjing Jiangning Hospital, Department of Blood Transfusion, the Affiliated Jiangning Hospital of Nanjing Medical University, Nanjing, 211100, China.</w:t>
      </w:r>
    </w:p>
    <w:p>
      <w:pPr>
        <w:widowControl/>
        <w:spacing w:line="360" w:lineRule="auto"/>
        <w:rPr>
          <w:rFonts w:ascii="Times New Roman" w:hAnsi="Times New Roman" w:eastAsia="MyriadPro-Light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AdvSCASF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[*</w:t>
      </w:r>
      <w:r>
        <w:rPr>
          <w:rFonts w:ascii="Times New Roman" w:hAnsi="Times New Roman" w:eastAsia="AdvSCASF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  <w:t>] These authors contributed equally to this work.</w:t>
      </w:r>
    </w:p>
    <w:p>
      <w:pPr>
        <w:widowControl/>
        <w:jc w:val="left"/>
        <w:rPr>
          <w:rFonts w:ascii="Times New Roman" w:hAnsi="Times New Roman" w:cs="Times New Roman"/>
          <w:color w:val="000000" w:themeColor="text1"/>
          <w:kern w:val="0"/>
          <w:sz w:val="24"/>
          <w:lang w:bidi="ar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jc w:val="left"/>
        <w:rPr>
          <w:rFonts w:ascii="Times New Roman" w:hAnsi="Times New Roman" w:eastAsia="微软雅黑" w:cs="Times New Roman"/>
          <w:color w:val="000000" w:themeColor="text1"/>
          <w:sz w:val="24"/>
          <w:shd w:val="clear" w:color="auto" w:fill="FCFDF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HYPERLINK "javascript:;"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Style w:val="8"/>
          <w:rFonts w:ascii="Times New Roman" w:hAnsi="Times New Roman" w:eastAsia="微软雅黑" w:cs="Times New Roman"/>
          <w:color w:val="000000" w:themeColor="text1"/>
          <w:sz w:val="24"/>
          <w:u w:val="none"/>
          <w:shd w:val="clear" w:color="auto" w:fill="FCFDFE"/>
          <w14:textFill>
            <w14:solidFill>
              <w14:schemeClr w14:val="tx1"/>
            </w14:solidFill>
          </w14:textFill>
        </w:rPr>
        <w:t>Corresponding author</w:t>
      </w:r>
      <w:r>
        <w:rPr>
          <w:rStyle w:val="8"/>
          <w:rFonts w:ascii="Times New Roman" w:hAnsi="Times New Roman" w:eastAsia="微软雅黑" w:cs="Times New Roman"/>
          <w:color w:val="000000" w:themeColor="text1"/>
          <w:sz w:val="24"/>
          <w:u w:val="none"/>
          <w:shd w:val="clear" w:color="auto" w:fill="FCFDFE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Times New Roman" w:hAnsi="Times New Roman" w:eastAsia="微软雅黑" w:cs="Times New Roman"/>
          <w:color w:val="000000" w:themeColor="text1"/>
          <w:sz w:val="24"/>
          <w:shd w:val="clear" w:color="auto" w:fill="FCFDFE"/>
          <w14:textFill>
            <w14:solidFill>
              <w14:schemeClr w14:val="tx1"/>
            </w14:solidFill>
          </w14:textFill>
        </w:rPr>
        <w:t>: Aihua Gong</w:t>
      </w: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mail: y13852034764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@163.com</w:t>
      </w:r>
    </w:p>
    <w:p>
      <w:pP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outlineLvl w:val="0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Experimental section</w:t>
      </w:r>
    </w:p>
    <w:p>
      <w:pPr>
        <w:widowControl/>
        <w:spacing w:line="360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Materials and Reagents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bookmarkStart w:id="0" w:name="OLE_LINK81"/>
      <w:bookmarkEnd w:id="0"/>
    </w:p>
    <w:p>
      <w:pPr>
        <w:spacing w:line="360" w:lineRule="auto"/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Dichloromethane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ascii="Times New Roman" w:hAnsi="Times New Roman" w:eastAsia="AdvOT2e364b11"/>
          <w:color w:val="000000" w:themeColor="text1"/>
          <w:sz w:val="24"/>
          <w14:textFill>
            <w14:solidFill>
              <w14:schemeClr w14:val="tx1"/>
            </w14:solidFill>
          </w14:textFill>
        </w:rPr>
        <w:t>KMnO</w:t>
      </w:r>
      <w:r>
        <w:rPr>
          <w:rFonts w:ascii="Times New Roman" w:hAnsi="Times New Roman" w:eastAsia="AdvOT2e364b11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4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were purchased from Sinopharm Chemical Reagent (Beijing, China). </w:t>
      </w:r>
      <w:r>
        <w:rPr>
          <w:rFonts w:ascii="Times New Roman" w:hAnsi="Times New Roman" w:eastAsia="AdvOT2e364b1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1,2-distearoyl-</w:t>
      </w:r>
      <w:r>
        <w:rPr>
          <w:rFonts w:ascii="Times New Roman" w:hAnsi="Times New Roman" w:eastAsia="AdvOT02ce3bbb . I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sn</w:t>
      </w:r>
      <w:r>
        <w:rPr>
          <w:rFonts w:ascii="Times New Roman" w:hAnsi="Times New Roman" w:eastAsia="AdvOT2e364b1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-glycero-3-phosphoethanolamine-</w:t>
      </w:r>
      <w:r>
        <w:rPr>
          <w:rFonts w:ascii="Times New Roman" w:hAnsi="Times New Roman" w:eastAsia="AdvOT02ce3bbb . I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N</w:t>
      </w:r>
      <w:r>
        <w:rPr>
          <w:rFonts w:ascii="Times New Roman" w:hAnsi="Times New Roman" w:eastAsia="AdvOT2e364b1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-[folate (polyethylene glycol)-2000] (DSPE-PEG-FA)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, 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indocyanine green (ICG),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doxorubicin (DOX)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4’,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6-diamidino-2-phenylindole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(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DAPI),</w:t>
      </w:r>
      <w:bookmarkStart w:id="1" w:name="OLE_LINK5"/>
      <w:bookmarkStart w:id="2" w:name="OLE_LINK4"/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bookmarkStart w:id="3" w:name="OLE_LINK7"/>
      <w:bookmarkStart w:id="4" w:name="OLE_LINK6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glutathione</w:t>
      </w:r>
      <w:bookmarkEnd w:id="3"/>
      <w:bookmarkEnd w:id="4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bookmarkEnd w:id="1"/>
      <w:bookmarkEnd w:id="2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(GSH, 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r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educed), </w:t>
      </w:r>
      <w:bookmarkStart w:id="5" w:name="OLE_LINK21"/>
      <w:bookmarkStart w:id="6" w:name="_Hlk71621583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[Ru(dpp)</w:t>
      </w:r>
      <w:bookmarkEnd w:id="5"/>
      <w:r>
        <w:rPr>
          <w:rFonts w:ascii="Times New Roman" w:hAnsi="Times New Roman"/>
          <w:color w:val="000000" w:themeColor="text1"/>
          <w:kern w:val="0"/>
          <w:sz w:val="24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]Cl</w:t>
      </w:r>
      <w:r>
        <w:rPr>
          <w:rFonts w:ascii="Times New Roman" w:hAnsi="Times New Roman"/>
          <w:color w:val="000000" w:themeColor="text1"/>
          <w:kern w:val="0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(RDPP)</w:t>
      </w:r>
      <w:bookmarkEnd w:id="6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, </w:t>
      </w:r>
      <w:bookmarkStart w:id="7" w:name="_Hlk71621981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1, 3-diphenylisobenzofuran (DPBF)</w:t>
      </w:r>
      <w:bookmarkEnd w:id="7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, </w:t>
      </w:r>
      <w:bookmarkStart w:id="8" w:name="_Hlk71622006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2′, 7′-dichlorofluorescein diacetate (DCFH-DA)</w:t>
      </w:r>
      <w:bookmarkEnd w:id="8"/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, 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cell counting kit-8 (CCK-8)</w:t>
      </w:r>
      <w:r>
        <w:rPr>
          <w:rFonts w:ascii="Times New Roman" w:hAnsi="Times New Roman" w:eastAsia="Arial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and </w:t>
      </w:r>
      <w:r>
        <w:rPr>
          <w:rFonts w:ascii="Times New Roman" w:hAnsi="Times New Roman" w:eastAsia="Arial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formic acid </w:t>
      </w:r>
      <w:r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AdvOT2e364b11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bought from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Aladdin (Shanghai, China)</w:t>
      </w:r>
      <w:r>
        <w:rPr>
          <w:rFonts w:ascii="Times New Roman" w:hAnsi="Times New Roman" w:eastAsia="AdvOT2e364b11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Mowiol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®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PVA-105 (PVA) and Poly(L-lactide-co-glycolide) (PLGA, 50:50 (MW=24000-38000)) were purchased from Sigma (USA).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Fetal bovine serum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(FBS), 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1640 medium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and dulbecco’s modified eagle medium (</w:t>
      </w:r>
      <w:bookmarkStart w:id="9" w:name="OLE_LINK14"/>
      <w:bookmarkStart w:id="10" w:name="OLE_LINK15"/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DMEM</w:t>
      </w:r>
      <w:bookmarkEnd w:id="9"/>
      <w:bookmarkEnd w:id="10"/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)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purchased from Gibco (Shanghai, China).</w:t>
      </w:r>
      <w:r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All chemicals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are</w:t>
      </w:r>
      <w:r>
        <w:rPr>
          <w:rFonts w:ascii="Times New Roman" w:hAnsi="Times New Roman" w:eastAsia="AdvOT5843c571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used without further puri</w:t>
      </w:r>
      <w:r>
        <w:rPr>
          <w:rFonts w:ascii="Times New Roman" w:hAnsi="Times New Roman" w:eastAsia="AdvOT5843c571 + fb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fi</w:t>
      </w:r>
      <w:r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cation. </w:t>
      </w:r>
    </w:p>
    <w:p>
      <w:pPr>
        <w:spacing w:line="360" w:lineRule="auto"/>
        <w:ind w:firstLine="480" w:firstLineChars="200"/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pStyle w:val="9"/>
        <w:widowControl/>
        <w:spacing w:line="360" w:lineRule="auto"/>
        <w:ind w:firstLine="0" w:firstLineChars="0"/>
        <w:rPr>
          <w:rFonts w:ascii="Times New Roman" w:hAnsi="Times New Roman" w:eastAsia="TimesNewRomanPS-ItalicMT"/>
          <w:b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NewRomanPS-ItalicMT"/>
          <w:b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Apparatus and Procedures</w:t>
      </w:r>
    </w:p>
    <w:p>
      <w:pPr>
        <w:widowControl/>
        <w:spacing w:line="360" w:lineRule="auto"/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Transmission electron microscope (TEM) images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captured</w:t>
      </w: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by transmission electron microscope (JEOL 2100, Japan). X-ray diffraction (XRD) measurement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is</w:t>
      </w: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made by X-ray diffractometer (GBC MMA instrument). Fourier transform infrared (FTIR) spectroscopy </w:t>
      </w:r>
      <w:r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was carried out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by</w:t>
      </w: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NicoletNexus 470 spectrometer (USA). The Raman spectra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is</w:t>
      </w: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obtained by Perkin-Elmer Raman spectrometer (Horiba evolution) at 532 nm with a diode laser operating system. Fluorescence spectra </w:t>
      </w:r>
      <w:r>
        <w:rPr>
          <w:rFonts w:hint="eastAsia"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is</w:t>
      </w:r>
      <w:r>
        <w:rPr>
          <w:rFonts w:hint="eastAsia"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collected from a FluoroMax-4 spectrofluorometer (Japan). </w:t>
      </w:r>
      <w:r>
        <w:rPr>
          <w:rFonts w:hint="eastAsia"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The 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transverse relaxation times (</w:t>
      </w:r>
      <w:r>
        <w:rPr>
          <w:rFonts w:ascii="Times New Roman" w:hAnsi="Times New Roman"/>
          <w:i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i/>
          <w:color w:val="000000" w:themeColor="text1"/>
          <w:kern w:val="0"/>
          <w:sz w:val="24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) of Mn</w:t>
      </w:r>
      <w:r>
        <w:rPr>
          <w:rFonts w:hint="eastAsia"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are measured by </w:t>
      </w:r>
      <w:r>
        <w:rPr>
          <w:rFonts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3.0 T clinical magnetic resonance imaging (MRI) scanner (GE Echospeed Signa, USA)</w:t>
      </w:r>
      <w:r>
        <w:rPr>
          <w:rFonts w:hint="eastAsia" w:ascii="Times New Roman" w:hAnsi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 w:eastAsia="Georg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UV–vis absorption spectra 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was measured by</w:t>
      </w:r>
      <w:r>
        <w:rPr>
          <w:rFonts w:ascii="Times New Roman" w:hAnsi="Times New Roman" w:eastAsia="Georg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 Cary100 UV–vis spectrophotometer (USA).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The infrared thermal camera (HT-19, Guangzhou, China) was utilized to take the infrared thermal photos and record the temperature changes. The irradiance at 808 nm </w:t>
      </w:r>
      <w:r>
        <w:rPr>
          <w:rFonts w:ascii="Times New Roman" w:hAnsi="Times New Roman" w:eastAsia="TimesNewRomanPSMT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was measured via 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a fiber-coupled </w:t>
      </w:r>
      <w:bookmarkStart w:id="11" w:name="OLE_LINK101"/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NIR</w:t>
      </w:r>
      <w:bookmarkEnd w:id="11"/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laser (</w:t>
      </w:r>
      <w:r>
        <w:rPr>
          <w:rFonts w:ascii="Times New Roman" w:hAnsi="Times New Roman" w:eastAsia="Segoe UI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MDL-N-808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Segoe UI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nm-10W,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Segoe UI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Beijing Laserwave OptoElectronics Technology Co., Ltd.,</w:t>
      </w:r>
      <w:r>
        <w:rPr>
          <w:rFonts w:ascii="Times New Roman" w:hAnsi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Beijing, China). </w:t>
      </w:r>
      <w:r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  <w:t>Confocal laser scanning microscope (CLSM, Nikon, Japan) was performed to analyze the cell</w:t>
      </w:r>
      <w:r>
        <w:rPr>
          <w:rFonts w:ascii="Times New Roman" w:hAnsi="Times New Roman" w:eastAsia="Bold"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uptake behavior</w:t>
      </w:r>
      <w:r>
        <w:rPr>
          <w:rFonts w:ascii="Times New Roman" w:hAnsi="Times New Roman" w:eastAsia="AdvOT5843c571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widowControl/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Synthesis of </w:t>
      </w:r>
      <w:r>
        <w:rPr>
          <w:rFonts w:ascii="Times New Roman" w:hAnsi="Times New Roman" w:eastAsia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MnO</w:t>
      </w:r>
      <w:r>
        <w:rPr>
          <w:rFonts w:ascii="Times New Roman" w:hAnsi="Times New Roman" w:eastAsia="Times New Roman" w:cs="Times New Roman"/>
          <w:b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</w:t>
      </w:r>
    </w:p>
    <w:p>
      <w:pPr>
        <w:spacing w:line="360" w:lineRule="auto"/>
        <w:rPr>
          <w:rFonts w:hint="default" w:ascii="Times New Roman" w:hAnsi="Times New Roman" w:eastAsia="Times New Roman"/>
          <w:color w:val="000000" w:themeColor="text1"/>
          <w:sz w:val="24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MnO</w:t>
      </w:r>
      <w:r>
        <w:rPr>
          <w:rFonts w:hint="eastAsia" w:ascii="Times New Roman" w:hAnsi="Times New Roman" w:eastAsia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-GOOX&amp;ICG nano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platform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was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prepared after adding GO, DOX and ICG into PVA (1% wt) solution, follow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ing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by sonication 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for 30 min 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and stirring for 1 h. Then, PLGA (20 mg) 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wa</w:t>
      </w:r>
      <w:r>
        <w:rPr>
          <w:rFonts w:hint="eastAsia"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added into dichloromethane (1 mL), and slowly drop</w:t>
      </w:r>
      <w:r>
        <w:rPr>
          <w:rFonts w:hint="eastAsia"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ped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into the above mixed solution, and stir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ring</w:t>
      </w:r>
      <w:r>
        <w:rPr>
          <w:rFonts w:hint="eastAsia"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them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at 1000 rpm for 5 h. The obtained products 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washed with PBS for three times, and immersed into the KMnO</w:t>
      </w:r>
      <w:r>
        <w:rPr>
          <w:rFonts w:hint="eastAsia" w:ascii="Times New Roman" w:hAnsi="Times New Roman" w:eastAsia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solution (1 mg/mL) to continue stirring for another 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h. The obtained MnO</w:t>
      </w:r>
      <w:r>
        <w:rPr>
          <w:rFonts w:hint="eastAsia" w:ascii="Times New Roman" w:hAnsi="Times New Roman" w:eastAsia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 nano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platform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washed three times </w:t>
      </w:r>
      <w:r>
        <w:rPr>
          <w:rFonts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with PBS solution </w:t>
      </w:r>
      <w:r>
        <w:rPr>
          <w:rFonts w:hint="eastAsia" w:ascii="Times New Roman" w:hAnsi="Times New Roman" w:eastAsia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and dried with a vacuum freeze dryer</w:t>
      </w:r>
      <w:r>
        <w:rPr>
          <w:rFonts w:hint="eastAsia" w:ascii="Times New Roman" w:hAnsi="Times New Roman" w:eastAsia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[1,2].</w:t>
      </w:r>
    </w:p>
    <w:p>
      <w:pPr>
        <w:widowControl/>
        <w:spacing w:line="360" w:lineRule="auto"/>
        <w:rPr>
          <w:rFonts w:ascii="Times New Roman" w:hAnsi="Times New Roman" w:eastAsia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i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In vitro 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drug release</w:t>
      </w:r>
    </w:p>
    <w:p>
      <w:pPr>
        <w:spacing w:line="360" w:lineRule="auto"/>
        <w:rPr>
          <w:rFonts w:hint="default" w:ascii="Times New Roman" w:hAnsi="Times New Roman" w:eastAsia="宋体" w:cs="Times New Roman"/>
          <w:color w:val="000000" w:themeColor="text1"/>
          <w:kern w:val="0"/>
          <w:sz w:val="24"/>
          <w:lang w:val="en-US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Drug release behavior of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nanoplatform 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in different solution [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PBS (pH = 7.4), and simulated TME (pH = 5.5, 10 mM GSH and 30 μM H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)]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investigated by dialyzing with dialysis bags at 37 ℃ with shaking at 300 rpm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. At designed time points, the drugs releasing from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nanoplatform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wa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s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record</w:t>
      </w:r>
      <w:r>
        <w:rPr>
          <w:rFonts w:hint="eastAsia"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ed by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UV-vis spectra</w:t>
      </w:r>
      <w:r>
        <w:rPr>
          <w:rFonts w:hint="eastAsia" w:ascii="Times New Roman" w:hAnsi="Times New Roman" w:eastAsia="宋体" w:cs="Times New Roman"/>
          <w:color w:val="000000" w:themeColor="text1"/>
          <w:kern w:val="0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[3,4].</w:t>
      </w:r>
    </w:p>
    <w:p>
      <w:pPr>
        <w:widowControl/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i/>
          <w:color w:val="000000" w:themeColor="text1"/>
          <w:sz w:val="24"/>
          <w14:textFill>
            <w14:solidFill>
              <w14:schemeClr w14:val="tx1"/>
            </w14:solidFill>
          </w14:textFill>
        </w:rPr>
        <w:t>In vitro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cytotoxicity</w:t>
      </w:r>
    </w:p>
    <w:p>
      <w:pPr>
        <w:widowControl/>
        <w:spacing w:line="360" w:lineRule="auto"/>
        <w:rPr>
          <w:rFonts w:hint="default" w:ascii="Times New Roman" w:hAnsi="Times New Roman" w:eastAsia="等线" w:cs="Times New Roman"/>
          <w:color w:val="000000" w:themeColor="text1"/>
          <w:sz w:val="24"/>
          <w:lang w:val="en-US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GES-1 cells and 4T1 cells (3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×10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:vertAlign w:val="superscript"/>
          <w14:textFill>
            <w14:solidFill>
              <w14:schemeClr w14:val="tx1"/>
            </w14:solidFill>
          </w14:textFill>
        </w:rPr>
        <w:t>4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)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seeded into the 96-well plate, and incubated in 5% CO</w:t>
      </w:r>
      <w:r>
        <w:rPr>
          <w:rFonts w:ascii="Times New Roman" w:hAnsi="Times New Roman" w:eastAsia="等线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at 37 ℃ incubator for 12 h, then the medium wa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s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discarded and replaced with fresh medium containing different materials (free medium,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FA-EM@DOX&amp;ICG,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-GO/DOX&amp;ICG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). After 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being 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incubat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ed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for 4 hours, cells </w:t>
      </w:r>
      <w:r>
        <w:rPr>
          <w:rFonts w:ascii="Times New Roman" w:hAnsi="Times New Roman" w:eastAsia="宋体" w:cs="Times New Roman"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treated with NIR irradiation for 10 min at the power of 1.5 W/cm</w:t>
      </w:r>
      <w:r>
        <w:rPr>
          <w:rFonts w:ascii="Times New Roman" w:hAnsi="Times New Roman" w:eastAsia="等线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and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:vertAlign w:val="superscript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untreated cells was set as control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. Then, cells </w:t>
      </w:r>
      <w:r>
        <w:rPr>
          <w:rFonts w:ascii="Times New Roman" w:hAnsi="Times New Roman" w:eastAsia="宋体" w:cs="Times New Roman"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were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incubated for another 12 hours and the medium wa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s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discarded before CCK-8 solution (100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μL</w:t>
      </w:r>
      <w:r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) wa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s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added into each well. Finally, cell viability wa</w:t>
      </w:r>
      <w:r>
        <w:rPr>
          <w:rFonts w:hint="eastAsia"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s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tested with 450 nm enzyme microplate reader (Bio Tek, Winooski, VT, USA)</w:t>
      </w:r>
      <w:r>
        <w:rPr>
          <w:rFonts w:hint="eastAsia" w:ascii="Times New Roman" w:hAnsi="Times New Roman" w:eastAsia="宋体" w:cs="Times New Roman"/>
          <w:color w:val="000000" w:themeColor="text1"/>
          <w:kern w:val="0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宋体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[5].</w:t>
      </w:r>
    </w:p>
    <w:p>
      <w:pPr>
        <w:widowControl/>
        <w:spacing w:line="360" w:lineRule="auto"/>
        <w:ind w:firstLine="480" w:firstLineChars="200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 w:eastAsia="AdvOT5843c571" w:cs="Times New Roman"/>
          <w:b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AdvTT96740c24" w:cs="Times New Roman"/>
          <w:b/>
          <w:bCs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Animal welfare</w:t>
      </w:r>
      <w:r>
        <w:rPr>
          <w:rFonts w:ascii="Times New Roman" w:hAnsi="Times New Roman" w:eastAsia="AdvTT96740c24" w:cs="Times New Roman"/>
          <w:b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360" w:lineRule="auto"/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All animal experiments are carried out according to the animal protection regulations by the Animal Care Rules and Use Committee of Jiangsu University. 7-week-old BALB/c mice were purchased from Jiangsu University (Zhenjiang, People's Republic of China) and fed in a specific pathogen - free condition. All efforts are made to reduce the suffering of animals and the frequency of their use.</w:t>
      </w:r>
    </w:p>
    <w:p>
      <w:pPr>
        <w:widowControl/>
        <w:jc w:val="left"/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1440" w:firstLineChars="600"/>
        <w:rPr>
          <w:rFonts w:hint="eastAsia" w:ascii="Times New Roman" w:hAnsi="Times New Roman" w:eastAsia="等线" w:cs="Times New Roman"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等线" w:cs="Times New Roman"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225165" cy="2962910"/>
            <wp:effectExtent l="0" t="0" r="5715" b="8890"/>
            <wp:docPr id="24" name="图片 24" descr="Figure S1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Figure S1."/>
                    <pic:cNvPicPr>
                      <a:picLocks noChangeAspect="1"/>
                    </pic:cNvPicPr>
                  </pic:nvPicPr>
                  <pic:blipFill>
                    <a:blip r:embed="rId4"/>
                    <a:srcRect l="17157" r="21606"/>
                    <a:stretch>
                      <a:fillRect/>
                    </a:stretch>
                  </pic:blipFill>
                  <pic:spPr>
                    <a:xfrm>
                      <a:off x="0" y="0"/>
                      <a:ext cx="3225165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Figure S1. </w:t>
      </w:r>
      <w:r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(a) TEM imaging of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GO/ICG&amp;DOX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nanoplatform. (b) 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>Narrow XPS scan spectra of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GO/ICG&amp;DOX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nanoplatform. </w:t>
      </w:r>
      <w:r>
        <w:rPr>
          <w:rFonts w:ascii="Times New Roman" w:hAnsi="Times New Roman" w:eastAsia="等线" w:cs="Times New Roman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(c) TEM imaging of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-GO/ICG&amp;DOX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nanoplatform. (b) 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>Narrow XPS scan spectra of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-GO/ICG&amp;DOX </w:t>
      </w:r>
      <w:r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nanoplatform.</w:t>
      </w: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343785" cy="1808480"/>
            <wp:effectExtent l="0" t="0" r="3175" b="5080"/>
            <wp:docPr id="23" name="图片 23" descr="Figure S2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Figure S2."/>
                    <pic:cNvPicPr>
                      <a:picLocks noChangeAspect="1"/>
                    </pic:cNvPicPr>
                  </pic:nvPicPr>
                  <pic:blipFill>
                    <a:blip r:embed="rId5"/>
                    <a:srcRect l="28732" t="13609" r="26766" b="25354"/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="等线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UV absorption spectra of 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MnO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,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 ICG, and DOX.</w:t>
      </w: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1201" w:firstLineChars="500"/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710305" cy="1755140"/>
            <wp:effectExtent l="0" t="0" r="8255" b="12700"/>
            <wp:docPr id="22" name="图片 22" descr="Figure S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Figure S3."/>
                    <pic:cNvPicPr>
                      <a:picLocks noChangeAspect="1"/>
                    </pic:cNvPicPr>
                  </pic:nvPicPr>
                  <pic:blipFill>
                    <a:blip r:embed="rId6"/>
                    <a:srcRect l="10333" t="13223" r="19219" b="27540"/>
                    <a:stretch>
                      <a:fillRect/>
                    </a:stretch>
                  </pic:blipFill>
                  <pic:spPr>
                    <a:xfrm>
                      <a:off x="0" y="0"/>
                      <a:ext cx="3710305" cy="175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3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 xml:space="preserve">Narrow XPS scan spectra of (a)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Mn2p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 xml:space="preserve"> in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 xml:space="preserve"> and (b)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C1s</w:t>
      </w:r>
      <w:r>
        <w:rPr>
          <w:rFonts w:ascii="Times New Roman" w:hAnsi="Times New Roman" w:cs="Times New Roman"/>
          <w:color w:val="000000" w:themeColor="text1"/>
          <w:kern w:val="24"/>
          <w:sz w:val="24"/>
          <w14:textFill>
            <w14:solidFill>
              <w14:schemeClr w14:val="tx1"/>
            </w14:solidFill>
          </w14:textFill>
        </w:rPr>
        <w:t xml:space="preserve"> in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</w:t>
      </w:r>
      <w:r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087880" cy="1661795"/>
            <wp:effectExtent l="0" t="0" r="0" b="14605"/>
            <wp:docPr id="21" name="图片 21" descr="Figure S4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Figure S4."/>
                    <pic:cNvPicPr>
                      <a:picLocks noChangeAspect="1"/>
                    </pic:cNvPicPr>
                  </pic:nvPicPr>
                  <pic:blipFill>
                    <a:blip r:embed="rId7"/>
                    <a:srcRect l="27490" t="15817" r="32867" b="28097"/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="等线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4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bookmarkStart w:id="12" w:name="OLE_LINK35"/>
      <w:bookmarkStart w:id="13" w:name="OLE_LINK36"/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Raman spectra of </w:t>
      </w:r>
      <w:r>
        <w:rPr>
          <w:rFonts w:ascii="Times New Roman" w:hAnsi="Times New Roman" w:eastAsia="Times New Roman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GO/ICG&amp;DOX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ascii="Times New Roman" w:hAnsi="Times New Roman" w:eastAsia="Times New Roman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>GO/ICG&amp;DOX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 + GSH.</w:t>
      </w:r>
      <w:bookmarkEnd w:id="12"/>
      <w:bookmarkEnd w:id="13"/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1201" w:firstLineChars="500"/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862070" cy="1765300"/>
            <wp:effectExtent l="0" t="0" r="8890" b="2540"/>
            <wp:docPr id="20" name="图片 20" descr="Figure S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Figure S5."/>
                    <pic:cNvPicPr>
                      <a:picLocks noChangeAspect="1"/>
                    </pic:cNvPicPr>
                  </pic:nvPicPr>
                  <pic:blipFill>
                    <a:blip r:embed="rId8"/>
                    <a:srcRect l="9308" t="15624" r="17362" b="24796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5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(a) UV absorption spectra of GO and GO+ GSH. The inset shows the corresponding photos. (b) FTIR spectra of GO and GO + GSH.</w:t>
      </w: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960" w:firstLineChars="400"/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290570" cy="2854325"/>
            <wp:effectExtent l="0" t="0" r="1270" b="10795"/>
            <wp:docPr id="19" name="图片 19" descr="Figure S6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Figure S6."/>
                    <pic:cNvPicPr>
                      <a:picLocks noChangeAspect="1"/>
                    </pic:cNvPicPr>
                  </pic:nvPicPr>
                  <pic:blipFill>
                    <a:blip r:embed="rId9"/>
                    <a:srcRect l="11575" t="1650" r="25946" b="2015"/>
                    <a:stretch>
                      <a:fillRect/>
                    </a:stretch>
                  </pic:blipFill>
                  <pic:spPr>
                    <a:xfrm>
                      <a:off x="0" y="0"/>
                      <a:ext cx="329057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宋体" w:cs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6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(a)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Fluorescence spectra of DOX after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immersed into different concentrations of GSH (0-30 mM).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The concentration of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is 200 μg/mL.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(b) Corresponding calibration curve between the fluorescence intensity and the concentration of GSH (0-26 mM).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(a)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Fluorescence spectra of ICG after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immersed into different concentrations of GSH (0-30 mM).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The concentration of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is 200 μg/mL.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(b) Corresponding calibration curve between the fluorescence intensity and the concentration of GSH (0-26 mM).</w:t>
      </w: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772025" cy="1493520"/>
            <wp:effectExtent l="0" t="0" r="13335" b="0"/>
            <wp:docPr id="18" name="图片 18" descr="Figure S7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Figure S7."/>
                    <pic:cNvPicPr>
                      <a:picLocks noChangeAspect="1"/>
                    </pic:cNvPicPr>
                  </pic:nvPicPr>
                  <pic:blipFill>
                    <a:blip r:embed="rId10"/>
                    <a:srcRect l="3509" t="19288" r="5884" b="30304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7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Fluorescence intensity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of RDPP in PBS (a), 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(b) and with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 xml:space="preserve">2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(c) at different time points.</w:t>
      </w:r>
    </w:p>
    <w:p>
      <w:pPr>
        <w:widowControl/>
        <w:jc w:val="left"/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1200" w:firstLineChars="500"/>
        <w:rPr>
          <w:rFonts w:hint="eastAsia" w:ascii="Calibri" w:hAnsi="Calibri" w:eastAsia="宋体" w:cs="Times New Roman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Calibri" w:hAnsi="Calibri" w:eastAsia="宋体" w:cs="Times New Roman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970655" cy="1722120"/>
            <wp:effectExtent l="0" t="0" r="6985" b="0"/>
            <wp:docPr id="17" name="图片 17" descr="Figure S8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Figure S8."/>
                    <pic:cNvPicPr>
                      <a:picLocks noChangeAspect="1"/>
                    </pic:cNvPicPr>
                  </pic:nvPicPr>
                  <pic:blipFill>
                    <a:blip r:embed="rId11"/>
                    <a:srcRect l="8066" t="11402" r="16542" b="30476"/>
                    <a:stretch>
                      <a:fillRect/>
                    </a:stretch>
                  </pic:blipFill>
                  <pic:spPr>
                    <a:xfrm>
                      <a:off x="0" y="0"/>
                      <a:ext cx="3970655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等线" w:hAnsi="等线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bookmarkStart w:id="14" w:name="OLE_LINK3"/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8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(a) Photograph of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-triggered 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generation in different solutions. (1:</w:t>
      </w:r>
      <w:r>
        <w:rPr>
          <w:rFonts w:hint="eastAsia"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PBS solution; 2: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solution; 3</w:t>
      </w:r>
      <w:r>
        <w:rPr>
          <w:rFonts w:hint="eastAsia"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: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solution;</w:t>
      </w:r>
      <w:r>
        <w:rPr>
          <w:rFonts w:hint="eastAsia"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4: 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in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solution). (b)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-triggered 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generation in PBS solution,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solution, 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solution,</w:t>
      </w:r>
      <w:r>
        <w:rPr>
          <w:rFonts w:hint="eastAsia"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and 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in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solution.</w:t>
      </w:r>
    </w:p>
    <w:bookmarkEnd w:id="14"/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rPr>
          <w:rFonts w:hint="default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default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6690" cy="1597025"/>
            <wp:effectExtent l="0" t="0" r="6350" b="3175"/>
            <wp:docPr id="14" name="图片 14" descr="Figure S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igure S9."/>
                    <pic:cNvPicPr>
                      <a:picLocks noChangeAspect="1"/>
                    </pic:cNvPicPr>
                  </pic:nvPicPr>
                  <pic:blipFill>
                    <a:blip r:embed="rId12"/>
                    <a:srcRect t="17445" b="2865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" w:hAnsi="Calibri" w:eastAsia="宋体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9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UV−vis absorption of DPBF in PBS containing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 xml:space="preserve">2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(a)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, 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+ H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(b), and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with 808 nm laser irradiation </w:t>
      </w:r>
      <w:r>
        <w:rPr>
          <w:rStyle w:val="19"/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(c)</w:t>
      </w:r>
      <w:r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at different time points.</w:t>
      </w: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ind w:firstLine="480" w:firstLineChars="200"/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916680" cy="1699895"/>
            <wp:effectExtent l="0" t="0" r="0" b="6985"/>
            <wp:docPr id="13" name="图片 13" descr="Figure S10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igure S10."/>
                    <pic:cNvPicPr>
                      <a:picLocks noChangeAspect="1"/>
                    </pic:cNvPicPr>
                  </pic:nvPicPr>
                  <pic:blipFill>
                    <a:blip r:embed="rId13"/>
                    <a:srcRect l="10236" t="12688" r="15397" b="29940"/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169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igure 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10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Viability of GES-1 cells (a) and 4T1 cells (b) upon treatment with PBS (1), PBS + NIR (2), FA-EM@ICG&amp;DOX + NIR (3), MnO</w:t>
      </w:r>
      <w:r>
        <w:rPr>
          <w:rFonts w:ascii="Times New Roman" w:hAnsi="Times New Roman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-GO/ICG&amp;DOX + NIR (4), FA-EM@MnO</w:t>
      </w:r>
      <w:r>
        <w:rPr>
          <w:rFonts w:ascii="Times New Roman" w:hAnsi="Times New Roman"/>
          <w:color w:val="000000" w:themeColor="text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-GO/ICG&amp;DOX + NIR (5). </w:t>
      </w: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6690" cy="2962910"/>
            <wp:effectExtent l="0" t="0" r="6350" b="8890"/>
            <wp:docPr id="1" name="图片 1" descr="Figure7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ure7.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 New Roman" w:cs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Figure 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S11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eastAsia="Times New Roman" w:cs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(a) The signal intensity of T1-weighted MRI for GO/ICG&amp;DOX, 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/GO/ICG&amp;DOX and FA-EM@MnO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/GO/ICG&amp;DOX in PBS with different concentration.</w:t>
      </w:r>
      <w:r>
        <w:rPr>
          <w:rFonts w:ascii="Times New Roman" w:hAnsi="Times New Roman" w:cs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(b) In vivo MRI of 4T1 tumor-bearing mice at designated time intervals after injection of 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-GO/ICG&amp;DOX</w:t>
      </w:r>
      <w:r>
        <w:rPr>
          <w:rFonts w:ascii="Times New Roman" w:hAnsi="Times New Roman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(c) Ex vivo fluorescence images of FA-EM@ICG&amp;DOX (1), FA-EM@MnO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-GO/ICG&amp;DOX (2), MnO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-GO/ICG&amp;DOX (3), and PBS (4) in the heart, liver, spleen, lungs, kidneys and tumor of the 4T1 tumor-bearing mice.</w:t>
      </w: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6690" cy="2962910"/>
            <wp:effectExtent l="0" t="0" r="6350" b="8890"/>
            <wp:docPr id="12" name="图片 12" descr="Figure S11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igure S11.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F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igure </w:t>
      </w:r>
      <w:bookmarkStart w:id="15" w:name="OLE_LINK9"/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S1</w:t>
      </w:r>
      <w:r>
        <w:rPr>
          <w:rFonts w:hint="eastAsia" w:ascii="Times New Roman" w:hAnsi="Times New Roman" w:eastAsia="等线" w:cs="Times New Roman"/>
          <w:b/>
          <w:color w:val="000000" w:themeColor="text1"/>
          <w:sz w:val="24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.</w:t>
      </w:r>
      <w:bookmarkEnd w:id="15"/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(a) Photographs of the tumors on day 15 post-injection after the treatment of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-GO/ICG&amp;DOX nanoplatform. (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b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 xml:space="preserve">)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The tumor volumes on day 15 post-injection after the treatment of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-GO/ICG&amp;DOX nanoplatform. (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c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 xml:space="preserve">)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Body weight of mice on day 15 post-injection after the treatment of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-GO/ICG&amp;DOX nanoplatform.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(</w:t>
      </w:r>
      <w:r>
        <w:rPr>
          <w:rFonts w:hint="eastAsia"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d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 xml:space="preserve">)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H&amp;E (left) and TUNEL staining (right) of tumor slices collected from 4T1 tumor-bearing mice after treatment of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 xml:space="preserve">-GO/ICG&amp;DOX nanoplatform. (e) </w:t>
      </w:r>
      <w:r>
        <w:rPr>
          <w:rFonts w:ascii="Times New Roman" w:hAnsi="Times New Roman" w:eastAsia="宋体" w:cs="Times New Roman"/>
          <w:bCs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H&amp;E staining of various organs collected from 4T1 tumor-bearing mice </w:t>
      </w:r>
      <w:r>
        <w:rPr>
          <w:rFonts w:ascii="Times New Roman" w:hAnsi="Times New Roman" w:eastAsia="宋体" w:cs="Times New Roman"/>
          <w:color w:val="000000" w:themeColor="text1"/>
          <w:sz w:val="24"/>
          <w:lang w:bidi="ar"/>
          <w14:textFill>
            <w14:solidFill>
              <w14:schemeClr w14:val="tx1"/>
            </w14:solidFill>
          </w14:textFill>
        </w:rPr>
        <w:t xml:space="preserve">on day 15 post-injection after the treatment of 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FA-EM@MnO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vertAlign w:val="subscript"/>
          <w:lang w:bidi="ar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宋体" w:cs="Times New Roman"/>
          <w:color w:val="000000" w:themeColor="text1"/>
          <w:sz w:val="24"/>
          <w:shd w:val="clear" w:color="auto" w:fill="FFFFFF"/>
          <w:lang w:bidi="ar"/>
          <w14:textFill>
            <w14:solidFill>
              <w14:schemeClr w14:val="tx1"/>
            </w14:solidFill>
          </w14:textFill>
        </w:rPr>
        <w:t>-GO/ICG&amp;DOX nanoplatform.</w:t>
      </w:r>
    </w:p>
    <w:p>
      <w:pPr>
        <w:widowControl/>
        <w:jc w:val="left"/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等线" w:cs="Times New Roman"/>
          <w:b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br w:type="page"/>
      </w:r>
    </w:p>
    <w:p>
      <w:pPr>
        <w:widowControl/>
        <w:spacing w:line="360" w:lineRule="auto"/>
        <w:ind w:firstLine="960" w:firstLineChars="400"/>
        <w:rPr>
          <w:rFonts w:hint="eastAsia" w:ascii="Times New Roman" w:hAnsi="Times New Roman" w:eastAsiaTheme="minorEastAsia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Times New Roman" w:hAnsi="Times New Roman" w:eastAsiaTheme="minorEastAsia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797935" cy="2445385"/>
            <wp:effectExtent l="0" t="0" r="12065" b="8255"/>
            <wp:docPr id="8" name="图片 8" descr="Figure S12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igure S12."/>
                    <pic:cNvPicPr>
                      <a:picLocks noChangeAspect="1"/>
                    </pic:cNvPicPr>
                  </pic:nvPicPr>
                  <pic:blipFill>
                    <a:blip r:embed="rId16"/>
                    <a:srcRect l="11876" t="5336" r="16012" b="12130"/>
                    <a:stretch>
                      <a:fillRect/>
                    </a:stretch>
                  </pic:blipFill>
                  <pic:spPr>
                    <a:xfrm>
                      <a:off x="0" y="0"/>
                      <a:ext cx="3797935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 w:eastAsia="等线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bookmarkStart w:id="16" w:name="OLE_LINK2"/>
      <w:bookmarkStart w:id="17" w:name="OLE_LINK8"/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Figure S</w:t>
      </w:r>
      <w:r>
        <w:rPr>
          <w:rFonts w:hint="eastAsia"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Times New Roman" w:hAnsi="Times New Roman" w:cs="Times New Roman"/>
          <w:b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3</w:t>
      </w:r>
      <w:bookmarkStart w:id="19" w:name="_GoBack"/>
      <w:bookmarkEnd w:id="19"/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  <w:bookmarkEnd w:id="16"/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bookmarkStart w:id="18" w:name="OLE_LINK1"/>
      <w:r>
        <w:rPr>
          <w:rFonts w:ascii="Times New Roman" w:hAnsi="Times New Roman" w:cs="Times New Roman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H&amp;E staining of various organs collected from 4T1 tumor-bearing mice after different treatments of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PBS (1),</w:t>
      </w:r>
      <w:bookmarkEnd w:id="18"/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NIR (2), 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FA-EM@ICG&amp;DOX + NIR (3), 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+ NIR (4), FA-EM@MnO</w:t>
      </w:r>
      <w:r>
        <w:rPr>
          <w:rFonts w:ascii="Times New Roman" w:hAnsi="Times New Roman" w:eastAsia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 w:eastAsia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-GO/ICG&amp;DOX + NIR (5)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 Scale bars: 150 μm.</w:t>
      </w:r>
    </w:p>
    <w:bookmarkEnd w:id="17"/>
    <w:p>
      <w:pPr>
        <w:widowControl/>
        <w:spacing w:line="360" w:lineRule="auto"/>
        <w:rPr>
          <w:rFonts w:ascii="Times New Roman" w:hAnsi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Times New Roman" w:hAnsi="Times New Roman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br w:type="page"/>
      </w:r>
    </w:p>
    <w:p>
      <w:pPr>
        <w:spacing w:line="360" w:lineRule="auto"/>
        <w:outlineLvl w:val="0"/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References: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1.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Min H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Wang J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Qi Y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, et al.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Biomimetic Metal-Organic Framework Nanoparticles for Cooperative Combination of Antiangiogenesis and Photodynamic Therapy for Enhanced Efficacy.</w:t>
      </w:r>
      <w:r>
        <w:rPr>
          <w:rFonts w:ascii="Times New Roman" w:hAnsi="Times New Roman" w:cs="Times New Roman"/>
          <w:i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Adv</w:t>
      </w:r>
      <w:r>
        <w:rPr>
          <w:rFonts w:hint="eastAsia" w:ascii="Times New Roman" w:hAnsi="Times New Roman" w:cs="Times New Roman"/>
          <w:i/>
          <w:i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Mater.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31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(15)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: e1808200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(2019)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eastAsia="宋体"/>
          <w:color w:val="000000" w:themeColor="text1"/>
          <w:sz w:val="24"/>
          <w:u w:val="dash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2.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Pei W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Huang B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Chen S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 et al.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Platelet-Mimicking Drug Delivery Nanoparticles for Enhanced Chemo-Photothermal Therapy of Breast Cancer. 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Int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J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Nanomedicine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15: 10151-10167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(2020)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3.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Davoodi P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Lee L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Xu Q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 et al.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Drug delivery systems for programmed and on-demand release. 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Adv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Drug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Deliv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Rev.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132: 104-138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(2018)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4.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Hu X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Guan X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Li J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 et al.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Hybrid polymer micelles capable of cRGD targeting and pH-triggered surface charge conversion for tumor selective accumulation and promoted uptake. 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Chem</w:t>
      </w:r>
      <w:r>
        <w:rPr>
          <w:rFonts w:hint="eastAsia" w:ascii="Times New Roman" w:hAnsi="Times New Roman" w:cs="Times New Roman"/>
          <w:i/>
          <w:i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Commun.</w:t>
      </w:r>
      <w:r>
        <w:rPr>
          <w:rFonts w:ascii="Times New Roman" w:hAnsi="Times New Roman" w:cs="Times New Roman"/>
          <w:i w:val="0"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50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(65)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: 9188-9191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(2014)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5.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Fang Z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Li X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Xu Z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, et al.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Hyaluronic acid-modified mesoporous silica-coated superparamagnetic Fe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3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 w:cs="Times New Roman"/>
          <w:color w:val="000000" w:themeColor="text1"/>
          <w:sz w:val="24"/>
          <w:vertAlign w:val="subscript"/>
          <w14:textFill>
            <w14:solidFill>
              <w14:schemeClr w14:val="tx1"/>
            </w14:solidFill>
          </w14:textFill>
        </w:rPr>
        <w:t>4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nanoparticles for targeted drug delivery.</w:t>
      </w:r>
      <w:r>
        <w:rPr>
          <w:rFonts w:ascii="Times New Roman" w:hAnsi="Times New Roman" w:cs="Times New Roman"/>
          <w:i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Int</w:t>
      </w:r>
      <w:r>
        <w:rPr>
          <w:rFonts w:hint="eastAsia" w:ascii="Times New Roman" w:hAnsi="Times New Roman" w:cs="Times New Roman"/>
          <w:i/>
          <w:i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J</w:t>
      </w:r>
      <w:r>
        <w:rPr>
          <w:rFonts w:hint="eastAsia" w:ascii="Times New Roman" w:hAnsi="Times New Roman" w:cs="Times New Roman"/>
          <w:i/>
          <w:i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Nanomedicine</w:t>
      </w:r>
      <w:r>
        <w:rPr>
          <w:rFonts w:hint="eastAsia" w:ascii="Times New Roman" w:hAnsi="Times New Roman" w:cs="Times New Roman"/>
          <w:i/>
          <w:i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Times New Roman" w:hAnsi="Times New Roman" w:cs="Times New Roman"/>
          <w:i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14: 5785-5797</w:t>
      </w:r>
      <w:r>
        <w:rPr>
          <w:rFonts w:hint="eastAsia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(2019)</w:t>
      </w:r>
      <w:r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hanging="480" w:hangingChars="200"/>
        <w:textAlignment w:val="auto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480" w:firstLineChars="200"/>
        <w:rPr>
          <w:rFonts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|ì¨¨??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GulliverRM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MyriadPro-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dvSCAS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dvOT5843c571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dvOT2e364b11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AdvOT02ce3bbb . I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M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dvOT5843c571 + fb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NewRomanPS-Italic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Bold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dvTT96740c24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7EECE2E"/>
    <w:multiLevelType w:val="singleLevel"/>
    <w:tmpl w:val="47EECE2E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YzNDA4ZDY3MmZlODg1MjQzMzFjZGFiMDYxYTVhZDgifQ=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S&lt;/Style&gt;&lt;LeftDelim&gt;{&lt;/LeftDelim&gt;&lt;RightDelim&gt;}&lt;/RightDelim&gt;&lt;FontName&gt;|ì¨¨??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passrr250wtw9evvvvxzdwmetpzz0vat0r5&quot;&gt;My EndNote Library&lt;record-ids&gt;&lt;item&gt;785&lt;/item&gt;&lt;item&gt;793&lt;/item&gt;&lt;item&gt;794&lt;/item&gt;&lt;item&gt;795&lt;/item&gt;&lt;item&gt;803&lt;/item&gt;&lt;/record-ids&gt;&lt;/item&gt;&lt;/Libraries&gt;"/>
  </w:docVars>
  <w:rsids>
    <w:rsidRoot w:val="3428488E"/>
    <w:rsid w:val="00012282"/>
    <w:rsid w:val="000149D5"/>
    <w:rsid w:val="00021E82"/>
    <w:rsid w:val="00032B85"/>
    <w:rsid w:val="000418E8"/>
    <w:rsid w:val="000556B2"/>
    <w:rsid w:val="0007008E"/>
    <w:rsid w:val="00075A64"/>
    <w:rsid w:val="00075C6B"/>
    <w:rsid w:val="0007636D"/>
    <w:rsid w:val="0008456E"/>
    <w:rsid w:val="00087C22"/>
    <w:rsid w:val="000A1372"/>
    <w:rsid w:val="000A1B03"/>
    <w:rsid w:val="00104B11"/>
    <w:rsid w:val="00106058"/>
    <w:rsid w:val="00120E4B"/>
    <w:rsid w:val="00124700"/>
    <w:rsid w:val="00127F2F"/>
    <w:rsid w:val="00152122"/>
    <w:rsid w:val="00171BEB"/>
    <w:rsid w:val="001768D3"/>
    <w:rsid w:val="00180F76"/>
    <w:rsid w:val="001A3D69"/>
    <w:rsid w:val="001C68DB"/>
    <w:rsid w:val="001D090E"/>
    <w:rsid w:val="001D7366"/>
    <w:rsid w:val="001F294D"/>
    <w:rsid w:val="001F7435"/>
    <w:rsid w:val="0023303E"/>
    <w:rsid w:val="0024011F"/>
    <w:rsid w:val="00245B45"/>
    <w:rsid w:val="00245B52"/>
    <w:rsid w:val="00263F8D"/>
    <w:rsid w:val="00296B45"/>
    <w:rsid w:val="00297790"/>
    <w:rsid w:val="002A69DD"/>
    <w:rsid w:val="002B0E03"/>
    <w:rsid w:val="003044D0"/>
    <w:rsid w:val="003055E6"/>
    <w:rsid w:val="00317AE1"/>
    <w:rsid w:val="00322A87"/>
    <w:rsid w:val="003414D0"/>
    <w:rsid w:val="00345415"/>
    <w:rsid w:val="00347A89"/>
    <w:rsid w:val="003567BA"/>
    <w:rsid w:val="00376A76"/>
    <w:rsid w:val="003A4569"/>
    <w:rsid w:val="003D21B2"/>
    <w:rsid w:val="003D2B68"/>
    <w:rsid w:val="003E24F7"/>
    <w:rsid w:val="00401460"/>
    <w:rsid w:val="00403F85"/>
    <w:rsid w:val="00413E7E"/>
    <w:rsid w:val="00414CFF"/>
    <w:rsid w:val="00441376"/>
    <w:rsid w:val="0045430F"/>
    <w:rsid w:val="004620F1"/>
    <w:rsid w:val="00467ACF"/>
    <w:rsid w:val="004867ED"/>
    <w:rsid w:val="004915FA"/>
    <w:rsid w:val="004B520E"/>
    <w:rsid w:val="00505864"/>
    <w:rsid w:val="005217AA"/>
    <w:rsid w:val="00546A5D"/>
    <w:rsid w:val="00555376"/>
    <w:rsid w:val="00564276"/>
    <w:rsid w:val="00566A2D"/>
    <w:rsid w:val="00590F35"/>
    <w:rsid w:val="0059760D"/>
    <w:rsid w:val="005A71AD"/>
    <w:rsid w:val="005C151E"/>
    <w:rsid w:val="005C2F46"/>
    <w:rsid w:val="006243D7"/>
    <w:rsid w:val="0063077D"/>
    <w:rsid w:val="0064381C"/>
    <w:rsid w:val="006452DE"/>
    <w:rsid w:val="00681991"/>
    <w:rsid w:val="006946D6"/>
    <w:rsid w:val="006A044E"/>
    <w:rsid w:val="006A41BF"/>
    <w:rsid w:val="006A684C"/>
    <w:rsid w:val="006C78F8"/>
    <w:rsid w:val="006E1F47"/>
    <w:rsid w:val="006E659C"/>
    <w:rsid w:val="006E7333"/>
    <w:rsid w:val="006F6485"/>
    <w:rsid w:val="00705E44"/>
    <w:rsid w:val="00720B12"/>
    <w:rsid w:val="0072133D"/>
    <w:rsid w:val="0074228F"/>
    <w:rsid w:val="00745216"/>
    <w:rsid w:val="00760FBE"/>
    <w:rsid w:val="00794F4A"/>
    <w:rsid w:val="007B10FC"/>
    <w:rsid w:val="007B1F8B"/>
    <w:rsid w:val="007B2D53"/>
    <w:rsid w:val="007B4322"/>
    <w:rsid w:val="007B535E"/>
    <w:rsid w:val="007C5597"/>
    <w:rsid w:val="007C6C4E"/>
    <w:rsid w:val="007D71AE"/>
    <w:rsid w:val="007E6F4F"/>
    <w:rsid w:val="007F63BE"/>
    <w:rsid w:val="00803D04"/>
    <w:rsid w:val="00804EAD"/>
    <w:rsid w:val="008067A4"/>
    <w:rsid w:val="00831A86"/>
    <w:rsid w:val="0084429B"/>
    <w:rsid w:val="008850DA"/>
    <w:rsid w:val="008B240D"/>
    <w:rsid w:val="008D0D80"/>
    <w:rsid w:val="008D3AA8"/>
    <w:rsid w:val="008E4519"/>
    <w:rsid w:val="009058B5"/>
    <w:rsid w:val="00946C64"/>
    <w:rsid w:val="00956684"/>
    <w:rsid w:val="00974A78"/>
    <w:rsid w:val="0098113E"/>
    <w:rsid w:val="00984D86"/>
    <w:rsid w:val="00991654"/>
    <w:rsid w:val="0099169A"/>
    <w:rsid w:val="009A5A7A"/>
    <w:rsid w:val="009A7E5D"/>
    <w:rsid w:val="009E736F"/>
    <w:rsid w:val="009E7D7C"/>
    <w:rsid w:val="009F7CDF"/>
    <w:rsid w:val="00A019CB"/>
    <w:rsid w:val="00A13843"/>
    <w:rsid w:val="00A25E85"/>
    <w:rsid w:val="00A37938"/>
    <w:rsid w:val="00A531C0"/>
    <w:rsid w:val="00A558B4"/>
    <w:rsid w:val="00A625DA"/>
    <w:rsid w:val="00A73A07"/>
    <w:rsid w:val="00A81A44"/>
    <w:rsid w:val="00A84E3B"/>
    <w:rsid w:val="00AA1EAD"/>
    <w:rsid w:val="00AA5033"/>
    <w:rsid w:val="00AB68ED"/>
    <w:rsid w:val="00AC2548"/>
    <w:rsid w:val="00AD2D32"/>
    <w:rsid w:val="00AD56FC"/>
    <w:rsid w:val="00AE7268"/>
    <w:rsid w:val="00AF1F25"/>
    <w:rsid w:val="00AF3CEA"/>
    <w:rsid w:val="00B23F40"/>
    <w:rsid w:val="00B26E78"/>
    <w:rsid w:val="00B3374B"/>
    <w:rsid w:val="00B6322D"/>
    <w:rsid w:val="00B657B8"/>
    <w:rsid w:val="00B863DF"/>
    <w:rsid w:val="00B94B5E"/>
    <w:rsid w:val="00BC1387"/>
    <w:rsid w:val="00BF1020"/>
    <w:rsid w:val="00BF17A6"/>
    <w:rsid w:val="00C30ECC"/>
    <w:rsid w:val="00C43AB5"/>
    <w:rsid w:val="00C460CB"/>
    <w:rsid w:val="00C51F72"/>
    <w:rsid w:val="00C6582F"/>
    <w:rsid w:val="00C6585F"/>
    <w:rsid w:val="00CA21B8"/>
    <w:rsid w:val="00CA63D4"/>
    <w:rsid w:val="00CB3A3F"/>
    <w:rsid w:val="00CD43F5"/>
    <w:rsid w:val="00CE031D"/>
    <w:rsid w:val="00CF145A"/>
    <w:rsid w:val="00CF20D6"/>
    <w:rsid w:val="00D137FD"/>
    <w:rsid w:val="00D23590"/>
    <w:rsid w:val="00D3147A"/>
    <w:rsid w:val="00D44A51"/>
    <w:rsid w:val="00D52BBB"/>
    <w:rsid w:val="00D52E75"/>
    <w:rsid w:val="00D7653E"/>
    <w:rsid w:val="00D82033"/>
    <w:rsid w:val="00D92D9C"/>
    <w:rsid w:val="00DA1904"/>
    <w:rsid w:val="00DA68D5"/>
    <w:rsid w:val="00DC674D"/>
    <w:rsid w:val="00DE74B6"/>
    <w:rsid w:val="00E05364"/>
    <w:rsid w:val="00E072CC"/>
    <w:rsid w:val="00E143CB"/>
    <w:rsid w:val="00E32715"/>
    <w:rsid w:val="00E45238"/>
    <w:rsid w:val="00E57774"/>
    <w:rsid w:val="00EB683A"/>
    <w:rsid w:val="00EC583B"/>
    <w:rsid w:val="00ED267A"/>
    <w:rsid w:val="00EE2145"/>
    <w:rsid w:val="00EE332D"/>
    <w:rsid w:val="00F151B4"/>
    <w:rsid w:val="00F1578A"/>
    <w:rsid w:val="00F44BFB"/>
    <w:rsid w:val="00F53FAD"/>
    <w:rsid w:val="00F62DC9"/>
    <w:rsid w:val="00F773E5"/>
    <w:rsid w:val="00F813C4"/>
    <w:rsid w:val="00F86567"/>
    <w:rsid w:val="00F91ABC"/>
    <w:rsid w:val="00FC3E58"/>
    <w:rsid w:val="00FD71BB"/>
    <w:rsid w:val="00FF4738"/>
    <w:rsid w:val="021C42AB"/>
    <w:rsid w:val="02256358"/>
    <w:rsid w:val="03CF2576"/>
    <w:rsid w:val="04DD0DAC"/>
    <w:rsid w:val="11031B88"/>
    <w:rsid w:val="11E53A7C"/>
    <w:rsid w:val="12505416"/>
    <w:rsid w:val="15E9182F"/>
    <w:rsid w:val="17C23449"/>
    <w:rsid w:val="19EC58E4"/>
    <w:rsid w:val="1A09164B"/>
    <w:rsid w:val="1AFD2EF9"/>
    <w:rsid w:val="1BA31FDB"/>
    <w:rsid w:val="1BAB5E2D"/>
    <w:rsid w:val="1BC21EEB"/>
    <w:rsid w:val="1CF2107F"/>
    <w:rsid w:val="1D3E14AD"/>
    <w:rsid w:val="1F59124A"/>
    <w:rsid w:val="1F666EEC"/>
    <w:rsid w:val="20D93CBE"/>
    <w:rsid w:val="216F37FE"/>
    <w:rsid w:val="21881060"/>
    <w:rsid w:val="22D55934"/>
    <w:rsid w:val="23F07B42"/>
    <w:rsid w:val="24F17539"/>
    <w:rsid w:val="26D44B5C"/>
    <w:rsid w:val="2B1123FE"/>
    <w:rsid w:val="2D744A1B"/>
    <w:rsid w:val="322576B2"/>
    <w:rsid w:val="3428488E"/>
    <w:rsid w:val="35ED17A6"/>
    <w:rsid w:val="35FC08C5"/>
    <w:rsid w:val="3A3E6300"/>
    <w:rsid w:val="3B3368C2"/>
    <w:rsid w:val="3BD65CBA"/>
    <w:rsid w:val="3CB10A54"/>
    <w:rsid w:val="3E096AA2"/>
    <w:rsid w:val="472A078C"/>
    <w:rsid w:val="47CB29B5"/>
    <w:rsid w:val="499A554C"/>
    <w:rsid w:val="49DC3DB7"/>
    <w:rsid w:val="4B3B3B43"/>
    <w:rsid w:val="4B796FF3"/>
    <w:rsid w:val="4C0A763C"/>
    <w:rsid w:val="4C1635B0"/>
    <w:rsid w:val="4CA1369D"/>
    <w:rsid w:val="4D9F4461"/>
    <w:rsid w:val="50371177"/>
    <w:rsid w:val="525D4C27"/>
    <w:rsid w:val="53763EA9"/>
    <w:rsid w:val="5521017E"/>
    <w:rsid w:val="577C374F"/>
    <w:rsid w:val="58125643"/>
    <w:rsid w:val="597F21D9"/>
    <w:rsid w:val="5A312F50"/>
    <w:rsid w:val="5B6D0B61"/>
    <w:rsid w:val="5E260F98"/>
    <w:rsid w:val="5F167B72"/>
    <w:rsid w:val="5FCE5D27"/>
    <w:rsid w:val="63FF44D2"/>
    <w:rsid w:val="66D138B6"/>
    <w:rsid w:val="66DE7B1C"/>
    <w:rsid w:val="689357F7"/>
    <w:rsid w:val="68EF357F"/>
    <w:rsid w:val="6CED7C2B"/>
    <w:rsid w:val="6F102CAE"/>
    <w:rsid w:val="6F41166F"/>
    <w:rsid w:val="70210A40"/>
    <w:rsid w:val="7174485B"/>
    <w:rsid w:val="717B788E"/>
    <w:rsid w:val="71EC43C5"/>
    <w:rsid w:val="722B229D"/>
    <w:rsid w:val="73975D58"/>
    <w:rsid w:val="74F379C7"/>
    <w:rsid w:val="77C77DBD"/>
    <w:rsid w:val="7A1D6D00"/>
    <w:rsid w:val="7C9B71FD"/>
    <w:rsid w:val="7CA74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Autospacing="1" w:afterAutospacing="1"/>
      <w:jc w:val="left"/>
      <w:outlineLvl w:val="3"/>
    </w:pPr>
    <w:rPr>
      <w:rFonts w:hint="eastAsia" w:ascii="宋体" w:hAnsi="宋体" w:eastAsia="宋体" w:cs="Times New Roman"/>
      <w:b/>
      <w:bCs/>
      <w:kern w:val="0"/>
      <w:sz w:val="2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rPr>
      <w:sz w:val="24"/>
    </w:r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customStyle="1" w:styleId="9">
    <w:name w:val="列出段落1"/>
    <w:basedOn w:val="1"/>
    <w:qFormat/>
    <w:uiPriority w:val="0"/>
    <w:pPr>
      <w:ind w:firstLine="420" w:firstLineChars="200"/>
    </w:pPr>
    <w:rPr>
      <w:rFonts w:ascii="Calibri" w:hAnsi="Calibri" w:eastAsia="宋体"/>
      <w:szCs w:val="21"/>
    </w:rPr>
  </w:style>
  <w:style w:type="character" w:customStyle="1" w:styleId="10">
    <w:name w:val="normaltextrun"/>
    <w:basedOn w:val="7"/>
    <w:qFormat/>
    <w:uiPriority w:val="0"/>
  </w:style>
  <w:style w:type="character" w:customStyle="1" w:styleId="11">
    <w:name w:val="skip"/>
    <w:basedOn w:val="7"/>
    <w:unhideWhenUsed/>
    <w:qFormat/>
    <w:uiPriority w:val="0"/>
  </w:style>
  <w:style w:type="paragraph" w:customStyle="1" w:styleId="12">
    <w:name w:val="EndNote Bibliography"/>
    <w:basedOn w:val="1"/>
    <w:unhideWhenUsed/>
    <w:qFormat/>
    <w:uiPriority w:val="0"/>
    <w:rPr>
      <w:rFonts w:ascii="|ì¨¨??" w:eastAsia="|ì¨¨??"/>
      <w:sz w:val="20"/>
    </w:rPr>
  </w:style>
  <w:style w:type="character" w:customStyle="1" w:styleId="13">
    <w:name w:val="页眉 字符"/>
    <w:basedOn w:val="7"/>
    <w:link w:val="4"/>
    <w:qFormat/>
    <w:uiPriority w:val="0"/>
    <w:rPr>
      <w:kern w:val="2"/>
      <w:sz w:val="18"/>
      <w:szCs w:val="18"/>
    </w:rPr>
  </w:style>
  <w:style w:type="character" w:customStyle="1" w:styleId="14">
    <w:name w:val="页脚 字符"/>
    <w:basedOn w:val="7"/>
    <w:link w:val="3"/>
    <w:qFormat/>
    <w:uiPriority w:val="0"/>
    <w:rPr>
      <w:kern w:val="2"/>
      <w:sz w:val="18"/>
      <w:szCs w:val="18"/>
    </w:rPr>
  </w:style>
  <w:style w:type="paragraph" w:customStyle="1" w:styleId="15">
    <w:name w:val="tg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character" w:customStyle="1" w:styleId="16">
    <w:name w:val="tgt1"/>
    <w:basedOn w:val="7"/>
    <w:qFormat/>
    <w:uiPriority w:val="0"/>
  </w:style>
  <w:style w:type="paragraph" w:customStyle="1" w:styleId="17">
    <w:name w:val="EndNote Bibliography Title"/>
    <w:basedOn w:val="1"/>
    <w:link w:val="18"/>
    <w:qFormat/>
    <w:uiPriority w:val="0"/>
    <w:pPr>
      <w:jc w:val="center"/>
    </w:pPr>
    <w:rPr>
      <w:rFonts w:ascii="|ì¨¨??" w:eastAsia="|ì¨¨??"/>
      <w:sz w:val="20"/>
    </w:rPr>
  </w:style>
  <w:style w:type="character" w:customStyle="1" w:styleId="18">
    <w:name w:val="EndNote Bibliography Title 字符"/>
    <w:basedOn w:val="7"/>
    <w:link w:val="17"/>
    <w:qFormat/>
    <w:uiPriority w:val="0"/>
    <w:rPr>
      <w:rFonts w:ascii="|ì¨¨??" w:eastAsia="|ì¨¨??" w:hAnsiTheme="minorHAnsi" w:cstheme="minorBidi"/>
      <w:kern w:val="2"/>
      <w:szCs w:val="24"/>
    </w:rPr>
  </w:style>
  <w:style w:type="character" w:customStyle="1" w:styleId="19">
    <w:name w:val="15"/>
    <w:basedOn w:val="7"/>
    <w:qFormat/>
    <w:uiPriority w:val="0"/>
    <w:rPr>
      <w:rFonts w:hint="default" w:ascii="Calibri" w:hAnsi="Calibri" w:cs="Calibri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tiff"/><Relationship Id="rId15" Type="http://schemas.openxmlformats.org/officeDocument/2006/relationships/image" Target="media/image12.tiff"/><Relationship Id="rId14" Type="http://schemas.openxmlformats.org/officeDocument/2006/relationships/image" Target="media/image11.tiff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1234</Words>
  <Characters>7501</Characters>
  <Lines>65</Lines>
  <Paragraphs>18</Paragraphs>
  <TotalTime>4</TotalTime>
  <ScaleCrop>false</ScaleCrop>
  <LinksUpToDate>false</LinksUpToDate>
  <CharactersWithSpaces>8751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2022-10-05T08:59:00Z</dcterms:created>
  <dc:creator>Tacy</dc:creator>
  <cp:lastModifiedBy>房正邹</cp:lastModifiedBy>
  <dcterms:modified xsi:type="dcterms:W3CDTF">2023-02-16T11:52:58Z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A6ED96C49B224B73ACC3419634DC144F</vt:lpwstr>
  </property>
</Properties>
</file>