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DCB35" w14:textId="3048638D" w:rsidR="00FD6D92" w:rsidRDefault="00664BDA">
      <w:r w:rsidRPr="00664BDA">
        <w:drawing>
          <wp:anchor distT="0" distB="0" distL="114300" distR="114300" simplePos="0" relativeHeight="251660288" behindDoc="0" locked="0" layoutInCell="1" allowOverlap="1" wp14:anchorId="6A898BBB" wp14:editId="703FA75C">
            <wp:simplePos x="0" y="0"/>
            <wp:positionH relativeFrom="margin">
              <wp:posOffset>-219075</wp:posOffset>
            </wp:positionH>
            <wp:positionV relativeFrom="paragraph">
              <wp:posOffset>3133725</wp:posOffset>
            </wp:positionV>
            <wp:extent cx="5189913" cy="3333404"/>
            <wp:effectExtent l="0" t="0" r="0" b="0"/>
            <wp:wrapNone/>
            <wp:docPr id="7" name="Picture 6" descr="Chart, lin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27C0B1D-2D01-3F1E-FA51-F31B98AAC0B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Chart, line chart&#10;&#10;Description automatically generated">
                      <a:extLst>
                        <a:ext uri="{FF2B5EF4-FFF2-40B4-BE49-F238E27FC236}">
                          <a16:creationId xmlns:a16="http://schemas.microsoft.com/office/drawing/2014/main" id="{A27C0B1D-2D01-3F1E-FA51-F31B98AAC0B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9913" cy="3333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4BD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918BDC" wp14:editId="29BD3F3C">
                <wp:simplePos x="0" y="0"/>
                <wp:positionH relativeFrom="margin">
                  <wp:align>right</wp:align>
                </wp:positionH>
                <wp:positionV relativeFrom="paragraph">
                  <wp:posOffset>1924050</wp:posOffset>
                </wp:positionV>
                <wp:extent cx="3143250" cy="2857500"/>
                <wp:effectExtent l="0" t="0" r="0" b="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D4866C-B5C0-036D-40E5-D30683B7DB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857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6BC779" w14:textId="3665C838" w:rsidR="00664BDA" w:rsidRDefault="00664BDA" w:rsidP="00664BDA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Figure S1. Number of studies </w:t>
                            </w:r>
                            <w:proofErr w:type="spellStart"/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supporte</w:t>
                            </w:r>
                            <w:proofErr w:type="spellEnd"/>
                            <w:r w:rsidRPr="00664BDA"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y non-regulated bioanalysis group per year at AbbVie Lake County, and the yearly targeted number of studies per FTE (2013 – 2022 Q1) (a); the median, P75 and P90 of non-regulated in-vivo study turnaround time (TAT) (b). PD: pharmacodynamic study; PK: pharmacokinetic study; TK: toxicokinetic study. FTE: full-time employee. Tissue d b studies were not tracked prior to 2017, TK studies were not tracked prior to 2021.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18BDC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196.3pt;margin-top:151.5pt;width:247.5pt;height:2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" filled="f" stroked="f">
                <v:textbox>
                  <w:txbxContent>
                    <w:p w14:paraId="2B6BC779" w14:textId="3665C838" w:rsidR="00664BDA" w:rsidRDefault="00664BDA" w:rsidP="00664BDA">
                      <w:pPr>
                        <w:spacing w:line="256" w:lineRule="auto"/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Figure S1. Number of studies </w:t>
                      </w:r>
                      <w:proofErr w:type="spellStart"/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supporte</w:t>
                      </w:r>
                      <w:proofErr w:type="spellEnd"/>
                      <w:r w:rsidRPr="00664BDA"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y non-regulated bioanalysis group per year at AbbVie Lake County, and the yearly targeted number of studies per FTE (2013 – 2022 Q1) (a); the median, P75 and P90 of non-regulated in-vivo study turnaround time (TAT) (b). PD: pharmacodynamic study; PK: pharmacokinetic study; TK: toxicokinetic study. FTE: full-time employee. Tissue d b studies were not tracked prior to 2017, TK studies were not tracked prior to 2021.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64BDA">
        <w:drawing>
          <wp:anchor distT="0" distB="0" distL="114300" distR="114300" simplePos="0" relativeHeight="251659264" behindDoc="0" locked="0" layoutInCell="1" allowOverlap="1" wp14:anchorId="179E2A2A" wp14:editId="02F989CD">
            <wp:simplePos x="0" y="0"/>
            <wp:positionH relativeFrom="column">
              <wp:posOffset>-352425</wp:posOffset>
            </wp:positionH>
            <wp:positionV relativeFrom="paragraph">
              <wp:posOffset>-285750</wp:posOffset>
            </wp:positionV>
            <wp:extent cx="5189913" cy="3333404"/>
            <wp:effectExtent l="0" t="0" r="0" b="0"/>
            <wp:wrapNone/>
            <wp:docPr id="5" name="Picture 4" descr="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E484589C-34D2-45EB-A52A-CC2E4439D1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hart&#10;&#10;Description automatically generated">
                      <a:extLst>
                        <a:ext uri="{FF2B5EF4-FFF2-40B4-BE49-F238E27FC236}">
                          <a16:creationId xmlns:a16="http://schemas.microsoft.com/office/drawing/2014/main" id="{E484589C-34D2-45EB-A52A-CC2E4439D1C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9913" cy="3333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D6D92" w:rsidSect="00664BD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BDA"/>
    <w:rsid w:val="00664BDA"/>
    <w:rsid w:val="00FD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25351"/>
  <w15:chartTrackingRefBased/>
  <w15:docId w15:val="{DF18C7ED-888E-488D-9CDC-CA8ED68B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Robinson</dc:creator>
  <cp:keywords/>
  <dc:description/>
  <cp:lastModifiedBy>Christian Robinson</cp:lastModifiedBy>
  <cp:revision>1</cp:revision>
  <dcterms:created xsi:type="dcterms:W3CDTF">2023-03-24T14:26:00Z</dcterms:created>
  <dcterms:modified xsi:type="dcterms:W3CDTF">2023-03-24T14:27:00Z</dcterms:modified>
</cp:coreProperties>
</file>