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73B4" w:rsidRDefault="003E73B4" w:rsidP="003E73B4">
      <w:pPr>
        <w:autoSpaceDE w:val="0"/>
        <w:autoSpaceDN w:val="0"/>
        <w:adjustRightInd w:val="0"/>
        <w:spacing w:before="240" w:after="240" w:line="360" w:lineRule="auto"/>
        <w:jc w:val="center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4783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SUPPLEMENTARY MATERIAL</w:t>
      </w:r>
    </w:p>
    <w:p w:rsidR="003E73B4" w:rsidRDefault="003E73B4" w:rsidP="003E73B4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7F39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Synthetic Benzofuran-lin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ked Chalcones with </w:t>
      </w:r>
      <w:r w:rsidRPr="007F39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Potential Therapeutic Approach to Manage Diabetes Mellitus</w:t>
      </w:r>
    </w:p>
    <w:bookmarkStart w:id="0" w:name="_GoBack"/>
    <w:bookmarkEnd w:id="0"/>
    <w:p w:rsidR="003E73B4" w:rsidRPr="007F39F6" w:rsidRDefault="003E73B4" w:rsidP="003E73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F39F6">
        <w:object w:dxaOrig="8529" w:dyaOrig="529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6.75pt;height:265.6pt" o:ole="">
            <v:imagedata r:id="rId6" o:title=""/>
          </v:shape>
          <o:OLEObject Type="Embed" ProgID="ChemDraw.Document.6.0" ShapeID="_x0000_i1025" DrawAspect="Content" ObjectID="_1726905198" r:id="rId7"/>
        </w:object>
      </w:r>
    </w:p>
    <w:p w:rsidR="003E73B4" w:rsidRPr="007F39F6" w:rsidRDefault="00DD623F" w:rsidP="00DD623F">
      <w:pPr>
        <w:autoSpaceDE w:val="0"/>
        <w:autoSpaceDN w:val="0"/>
        <w:adjustRightInd w:val="0"/>
        <w:spacing w:after="240" w:line="36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Figure-S1</w:t>
      </w:r>
      <w:r w:rsidR="003E73B4" w:rsidRPr="007F39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  <w:r w:rsidR="003E73B4" w:rsidRPr="007F39F6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 w:rsidR="003E73B4"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Comparison of structures and </w:t>
      </w:r>
      <w:r w:rsidR="003E73B4" w:rsidRPr="007F39F6">
        <w:rPr>
          <w:rFonts w:ascii="Calibri" w:hAnsi="Calibri" w:cs="Calibri"/>
          <w:i/>
          <w:color w:val="000000" w:themeColor="text1"/>
          <w:sz w:val="24"/>
          <w:szCs w:val="24"/>
        </w:rPr>
        <w:t>α</w:t>
      </w:r>
      <w:r w:rsidR="003E73B4"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-amylase inhibitory activity of molecules </w:t>
      </w:r>
      <w:r w:rsidR="003E73B4" w:rsidRPr="007F39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20-26</w:t>
      </w:r>
      <w:r w:rsidR="003E73B4"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DD623F" w:rsidRPr="007F39F6" w:rsidRDefault="00DD623F" w:rsidP="00DD623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7F39F6">
        <w:object w:dxaOrig="9615" w:dyaOrig="5504">
          <v:shape id="_x0000_i1026" type="#_x0000_t75" style="width:467.75pt;height:266.55pt" o:ole="">
            <v:imagedata r:id="rId8" o:title=""/>
          </v:shape>
          <o:OLEObject Type="Embed" ProgID="ChemDraw.Document.6.0" ShapeID="_x0000_i1026" DrawAspect="Content" ObjectID="_1726905199" r:id="rId9"/>
        </w:object>
      </w:r>
    </w:p>
    <w:p w:rsidR="00DD623F" w:rsidRDefault="00DD623F" w:rsidP="00DD623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Figure-S2</w:t>
      </w:r>
      <w:r w:rsidRPr="007F39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  <w:r w:rsidRPr="007F39F6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Comparison of structures and </w:t>
      </w:r>
      <w:r w:rsidRPr="007F39F6">
        <w:rPr>
          <w:rFonts w:ascii="Calibri" w:hAnsi="Calibri" w:cs="Calibri"/>
          <w:i/>
          <w:color w:val="000000" w:themeColor="text1"/>
          <w:sz w:val="24"/>
          <w:szCs w:val="24"/>
        </w:rPr>
        <w:t>α</w:t>
      </w:r>
      <w:r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-amylase inhibitory activity of analogs </w:t>
      </w:r>
      <w:r w:rsidRPr="007F39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27-33</w:t>
      </w:r>
    </w:p>
    <w:p w:rsidR="00DD623F" w:rsidRPr="007F39F6" w:rsidRDefault="00DD623F" w:rsidP="00DD623F">
      <w:pPr>
        <w:pStyle w:val="BodyText"/>
        <w:ind w:right="107"/>
        <w:jc w:val="center"/>
        <w:rPr>
          <w:color w:val="000000" w:themeColor="text1"/>
        </w:rPr>
      </w:pPr>
      <w:r w:rsidRPr="007F39F6">
        <w:rPr>
          <w:noProof/>
          <w:color w:val="000000" w:themeColor="text1"/>
        </w:rPr>
        <w:drawing>
          <wp:inline distT="0" distB="0" distL="0" distR="0" wp14:anchorId="6C9DE570" wp14:editId="0077D913">
            <wp:extent cx="4213860" cy="4152900"/>
            <wp:effectExtent l="0" t="0" r="0" b="0"/>
            <wp:docPr id="6" name="Picture 6" descr="C:\Users\USER\Desktop\LW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USER\Desktop\LW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90" t="24002" r="18462" b="22164"/>
                    <a:stretch/>
                  </pic:blipFill>
                  <pic:spPr bwMode="auto">
                    <a:xfrm>
                      <a:off x="0" y="0"/>
                      <a:ext cx="421386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623F" w:rsidRPr="007F39F6" w:rsidRDefault="00DD623F" w:rsidP="00DD623F">
      <w:pPr>
        <w:pStyle w:val="BodyText"/>
        <w:ind w:right="101"/>
        <w:jc w:val="center"/>
        <w:rPr>
          <w:color w:val="000000" w:themeColor="text1"/>
        </w:rPr>
      </w:pPr>
      <w:r>
        <w:rPr>
          <w:b/>
          <w:bCs/>
          <w:color w:val="000000" w:themeColor="text1"/>
        </w:rPr>
        <w:t>Figure-S3</w:t>
      </w:r>
      <w:r w:rsidRPr="007F39F6">
        <w:rPr>
          <w:b/>
          <w:bCs/>
          <w:color w:val="000000" w:themeColor="text1"/>
        </w:rPr>
        <w:t>:</w:t>
      </w:r>
      <w:r w:rsidRPr="007F39F6">
        <w:rPr>
          <w:bCs/>
          <w:color w:val="000000" w:themeColor="text1"/>
        </w:rPr>
        <w:t xml:space="preserve"> Graph of compound </w:t>
      </w:r>
      <w:r w:rsidRPr="007F39F6">
        <w:rPr>
          <w:b/>
          <w:color w:val="000000" w:themeColor="text1"/>
        </w:rPr>
        <w:t>2</w:t>
      </w:r>
      <w:r w:rsidRPr="007F39F6">
        <w:rPr>
          <w:bCs/>
          <w:color w:val="000000" w:themeColor="text1"/>
        </w:rPr>
        <w:t>; Lineweaver-Burk plot of the reciprocal of rate of</w:t>
      </w:r>
      <w:r w:rsidRPr="007F39F6">
        <w:rPr>
          <w:bCs/>
          <w:color w:val="000000" w:themeColor="text1"/>
          <w:spacing w:val="1"/>
        </w:rPr>
        <w:t xml:space="preserve"> </w:t>
      </w:r>
      <w:r w:rsidRPr="007F39F6">
        <w:rPr>
          <w:bCs/>
          <w:color w:val="000000" w:themeColor="text1"/>
        </w:rPr>
        <w:t>reaction</w:t>
      </w:r>
      <w:r w:rsidRPr="007F39F6">
        <w:rPr>
          <w:color w:val="000000" w:themeColor="text1"/>
          <w:spacing w:val="-7"/>
        </w:rPr>
        <w:t xml:space="preserve"> </w:t>
      </w:r>
      <w:r w:rsidRPr="007F39F6">
        <w:rPr>
          <w:color w:val="000000" w:themeColor="text1"/>
        </w:rPr>
        <w:t>(velocities) vs reciprocal of</w:t>
      </w:r>
      <w:r w:rsidRPr="007F39F6">
        <w:rPr>
          <w:color w:val="000000" w:themeColor="text1"/>
          <w:spacing w:val="-4"/>
        </w:rPr>
        <w:t xml:space="preserve"> the </w:t>
      </w:r>
      <w:r w:rsidRPr="007F39F6">
        <w:rPr>
          <w:color w:val="000000" w:themeColor="text1"/>
        </w:rPr>
        <w:t>substrate</w:t>
      </w:r>
      <w:r w:rsidRPr="007F39F6">
        <w:rPr>
          <w:color w:val="000000" w:themeColor="text1"/>
          <w:spacing w:val="-7"/>
        </w:rPr>
        <w:t xml:space="preserve"> </w:t>
      </w:r>
      <w:r w:rsidRPr="007F39F6">
        <w:rPr>
          <w:color w:val="000000" w:themeColor="text1"/>
        </w:rPr>
        <w:t>(starch)</w:t>
      </w:r>
      <w:r w:rsidRPr="007F39F6">
        <w:rPr>
          <w:color w:val="000000" w:themeColor="text1"/>
          <w:spacing w:val="4"/>
        </w:rPr>
        <w:t xml:space="preserve"> </w:t>
      </w:r>
      <w:r w:rsidRPr="007F39F6">
        <w:rPr>
          <w:color w:val="000000" w:themeColor="text1"/>
        </w:rPr>
        <w:t>in</w:t>
      </w:r>
      <w:r w:rsidRPr="007F39F6">
        <w:rPr>
          <w:color w:val="000000" w:themeColor="text1"/>
          <w:spacing w:val="-6"/>
        </w:rPr>
        <w:t xml:space="preserve"> </w:t>
      </w:r>
      <w:r w:rsidRPr="007F39F6">
        <w:rPr>
          <w:color w:val="000000" w:themeColor="text1"/>
        </w:rPr>
        <w:t>different</w:t>
      </w:r>
      <w:r w:rsidRPr="007F39F6">
        <w:rPr>
          <w:color w:val="000000" w:themeColor="text1"/>
          <w:spacing w:val="3"/>
        </w:rPr>
        <w:t xml:space="preserve"> </w:t>
      </w:r>
      <w:r w:rsidRPr="007F39F6">
        <w:rPr>
          <w:color w:val="000000" w:themeColor="text1"/>
        </w:rPr>
        <w:t>inhibitor concentrations with error bars.</w:t>
      </w:r>
    </w:p>
    <w:p w:rsidR="00DD623F" w:rsidRPr="007F39F6" w:rsidRDefault="00DD623F" w:rsidP="00DD623F">
      <w:pPr>
        <w:pStyle w:val="BodyText"/>
        <w:ind w:right="107"/>
        <w:jc w:val="center"/>
        <w:rPr>
          <w:color w:val="000000" w:themeColor="text1"/>
        </w:rPr>
      </w:pPr>
      <w:r w:rsidRPr="007F39F6">
        <w:rPr>
          <w:noProof/>
          <w:color w:val="000000" w:themeColor="text1"/>
        </w:rPr>
        <w:lastRenderedPageBreak/>
        <w:drawing>
          <wp:inline distT="0" distB="0" distL="0" distR="0" wp14:anchorId="7E267DC9" wp14:editId="25B483CE">
            <wp:extent cx="4175760" cy="4099560"/>
            <wp:effectExtent l="0" t="0" r="0" b="0"/>
            <wp:docPr id="5" name="Picture 5" descr="C:\Users\USER\Desktop\d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USER\Desktop\dp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31" t="24694" r="18846" b="22164"/>
                    <a:stretch/>
                  </pic:blipFill>
                  <pic:spPr bwMode="auto">
                    <a:xfrm>
                      <a:off x="0" y="0"/>
                      <a:ext cx="4175760" cy="409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623F" w:rsidRPr="007F39F6" w:rsidRDefault="00DD623F" w:rsidP="00DD623F">
      <w:pPr>
        <w:pStyle w:val="BodyText"/>
        <w:ind w:right="101"/>
        <w:jc w:val="center"/>
        <w:rPr>
          <w:color w:val="000000" w:themeColor="text1"/>
        </w:rPr>
      </w:pPr>
      <w:r>
        <w:rPr>
          <w:b/>
          <w:bCs/>
          <w:color w:val="000000" w:themeColor="text1"/>
        </w:rPr>
        <w:t>Figure-S4</w:t>
      </w:r>
      <w:r w:rsidRPr="007F39F6">
        <w:rPr>
          <w:b/>
          <w:bCs/>
          <w:color w:val="000000" w:themeColor="text1"/>
        </w:rPr>
        <w:t>:</w:t>
      </w:r>
      <w:r w:rsidRPr="007F39F6">
        <w:rPr>
          <w:color w:val="000000" w:themeColor="text1"/>
        </w:rPr>
        <w:t xml:space="preserve"> Graph of compound </w:t>
      </w:r>
      <w:r w:rsidRPr="007F39F6">
        <w:rPr>
          <w:b/>
          <w:color w:val="000000" w:themeColor="text1"/>
        </w:rPr>
        <w:t>2</w:t>
      </w:r>
      <w:r w:rsidRPr="007F39F6">
        <w:rPr>
          <w:color w:val="000000" w:themeColor="text1"/>
        </w:rPr>
        <w:t>; Dixon plot of reciprocal of rate of reaction</w:t>
      </w:r>
      <w:r w:rsidRPr="007F39F6">
        <w:rPr>
          <w:color w:val="000000" w:themeColor="text1"/>
          <w:spacing w:val="1"/>
        </w:rPr>
        <w:t xml:space="preserve"> </w:t>
      </w:r>
      <w:r w:rsidRPr="007F39F6">
        <w:rPr>
          <w:color w:val="000000" w:themeColor="text1"/>
        </w:rPr>
        <w:t>(velocities) vs different concentrations of inhibitor with error bars.</w:t>
      </w:r>
    </w:p>
    <w:p w:rsidR="00DD623F" w:rsidRPr="007F39F6" w:rsidRDefault="00DD623F" w:rsidP="00DD623F">
      <w:pPr>
        <w:pStyle w:val="BodyText"/>
        <w:spacing w:before="240" w:line="360" w:lineRule="auto"/>
        <w:ind w:right="107"/>
        <w:rPr>
          <w:color w:val="000000" w:themeColor="text1"/>
        </w:rPr>
      </w:pPr>
      <w:r>
        <w:rPr>
          <w:b/>
          <w:color w:val="000000" w:themeColor="text1"/>
        </w:rPr>
        <w:t>Table-S1</w:t>
      </w:r>
      <w:r w:rsidRPr="007F39F6">
        <w:rPr>
          <w:b/>
          <w:color w:val="000000" w:themeColor="text1"/>
        </w:rPr>
        <w:t>:</w:t>
      </w:r>
      <w:r w:rsidRPr="007F39F6">
        <w:rPr>
          <w:color w:val="000000" w:themeColor="text1"/>
        </w:rPr>
        <w:t xml:space="preserve"> Kinetic studies data of selected compounds for </w:t>
      </w:r>
      <w:r w:rsidRPr="007F39F6">
        <w:rPr>
          <w:i/>
          <w:color w:val="000000" w:themeColor="text1"/>
        </w:rPr>
        <w:t>α</w:t>
      </w:r>
      <w:r w:rsidRPr="007F39F6">
        <w:rPr>
          <w:color w:val="000000" w:themeColor="text1"/>
        </w:rPr>
        <w:t>-amylase inhibition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95"/>
        <w:gridCol w:w="2070"/>
        <w:gridCol w:w="1620"/>
        <w:gridCol w:w="1620"/>
        <w:gridCol w:w="2245"/>
      </w:tblGrid>
      <w:tr w:rsidR="00DD623F" w:rsidRPr="007F39F6" w:rsidTr="00E94EEA">
        <w:trPr>
          <w:jc w:val="center"/>
        </w:trPr>
        <w:tc>
          <w:tcPr>
            <w:tcW w:w="179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Comp. No.</w:t>
            </w:r>
          </w:p>
        </w:tc>
        <w:tc>
          <w:tcPr>
            <w:tcW w:w="207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V</w:t>
            </w: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vertAlign w:val="subscript"/>
              </w:rPr>
              <w:t>max</w:t>
            </w: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 (</w:t>
            </w:r>
            <w:r w:rsidRPr="007F39F6">
              <w:rPr>
                <w:rFonts w:ascii="Times New Roman" w:hAnsi="Times New Roman" w:cs="Times New Roman"/>
                <w:b/>
                <w:bCs/>
                <w:i/>
                <w:color w:val="000000" w:themeColor="text1"/>
                <w:sz w:val="24"/>
                <w:szCs w:val="24"/>
              </w:rPr>
              <w:t>µ</w:t>
            </w: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M/min/mg)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Km (mM)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Ki ((</w:t>
            </w:r>
            <w:r w:rsidRPr="007F39F6">
              <w:rPr>
                <w:rFonts w:ascii="Times New Roman" w:hAnsi="Times New Roman" w:cs="Times New Roman"/>
                <w:b/>
                <w:bCs/>
                <w:i/>
                <w:color w:val="000000" w:themeColor="text1"/>
                <w:sz w:val="24"/>
                <w:szCs w:val="24"/>
              </w:rPr>
              <w:t>µ</w:t>
            </w: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M)</w:t>
            </w:r>
          </w:p>
        </w:tc>
        <w:tc>
          <w:tcPr>
            <w:tcW w:w="224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Inhibition Type</w:t>
            </w:r>
          </w:p>
        </w:tc>
      </w:tr>
      <w:tr w:rsidR="00DD623F" w:rsidRPr="007F39F6" w:rsidTr="00E94EEA">
        <w:trPr>
          <w:jc w:val="center"/>
        </w:trPr>
        <w:tc>
          <w:tcPr>
            <w:tcW w:w="179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07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1389.1 ± 3.2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1.7 ± 0.2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4.6 ± 0.2</w:t>
            </w:r>
          </w:p>
        </w:tc>
        <w:tc>
          <w:tcPr>
            <w:tcW w:w="224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DD623F" w:rsidRPr="007F39F6" w:rsidTr="00E94EEA">
        <w:trPr>
          <w:jc w:val="center"/>
        </w:trPr>
        <w:tc>
          <w:tcPr>
            <w:tcW w:w="179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07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1374.5 ± 4.0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17.9 ± 0.2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4.9 ± 0.1</w:t>
            </w:r>
          </w:p>
        </w:tc>
        <w:tc>
          <w:tcPr>
            <w:tcW w:w="224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DD623F" w:rsidRPr="007F39F6" w:rsidTr="00E94EEA">
        <w:trPr>
          <w:jc w:val="center"/>
        </w:trPr>
        <w:tc>
          <w:tcPr>
            <w:tcW w:w="179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07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1379.1 ± 3.7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</w:rPr>
              <w:t>1</w:t>
            </w: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8.5 ± 0.9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4.0 ± 0.2</w:t>
            </w:r>
          </w:p>
        </w:tc>
        <w:tc>
          <w:tcPr>
            <w:tcW w:w="224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DD623F" w:rsidRPr="007F39F6" w:rsidTr="00E94EEA">
        <w:trPr>
          <w:jc w:val="center"/>
        </w:trPr>
        <w:tc>
          <w:tcPr>
            <w:tcW w:w="179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207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1381.4 ± 4.2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8.6 ± 0.8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4.9 ± 0.1</w:t>
            </w:r>
          </w:p>
        </w:tc>
        <w:tc>
          <w:tcPr>
            <w:tcW w:w="224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DD623F" w:rsidRPr="007F39F6" w:rsidTr="00E94EEA">
        <w:trPr>
          <w:jc w:val="center"/>
        </w:trPr>
        <w:tc>
          <w:tcPr>
            <w:tcW w:w="179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207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1382.3 ± 4.3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7.1 ± 0.3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4.7 ± 0.1</w:t>
            </w:r>
          </w:p>
        </w:tc>
        <w:tc>
          <w:tcPr>
            <w:tcW w:w="224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DD623F" w:rsidRPr="007F39F6" w:rsidTr="00E94EEA">
        <w:trPr>
          <w:jc w:val="center"/>
        </w:trPr>
        <w:tc>
          <w:tcPr>
            <w:tcW w:w="179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207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1387.4 ± 1.9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11.7 ± 0.4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3.9 ± 0.2</w:t>
            </w:r>
          </w:p>
        </w:tc>
        <w:tc>
          <w:tcPr>
            <w:tcW w:w="224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Competitive type</w:t>
            </w:r>
          </w:p>
        </w:tc>
      </w:tr>
      <w:tr w:rsidR="00DD623F" w:rsidRPr="007F39F6" w:rsidTr="00E94EEA">
        <w:trPr>
          <w:jc w:val="center"/>
        </w:trPr>
        <w:tc>
          <w:tcPr>
            <w:tcW w:w="179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Acarbose</w:t>
            </w:r>
          </w:p>
        </w:tc>
        <w:tc>
          <w:tcPr>
            <w:tcW w:w="207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1110.3 ± 1.8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9.9 ± 0.2</w:t>
            </w:r>
          </w:p>
        </w:tc>
        <w:tc>
          <w:tcPr>
            <w:tcW w:w="1620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3.2 ± 0.4</w:t>
            </w:r>
          </w:p>
        </w:tc>
        <w:tc>
          <w:tcPr>
            <w:tcW w:w="2245" w:type="dxa"/>
            <w:vAlign w:val="center"/>
          </w:tcPr>
          <w:p w:rsidR="00DD623F" w:rsidRPr="007F39F6" w:rsidRDefault="00DD623F" w:rsidP="00E94E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Competitive type</w:t>
            </w:r>
          </w:p>
        </w:tc>
      </w:tr>
    </w:tbl>
    <w:p w:rsidR="00DD623F" w:rsidRPr="007F39F6" w:rsidRDefault="00DD623F" w:rsidP="00DD623F">
      <w:pPr>
        <w:pStyle w:val="TableParagraph"/>
        <w:spacing w:before="0" w:line="240" w:lineRule="auto"/>
        <w:ind w:left="0"/>
        <w:jc w:val="center"/>
        <w:rPr>
          <w:color w:val="000000" w:themeColor="text1"/>
          <w:sz w:val="24"/>
          <w:szCs w:val="24"/>
        </w:rPr>
      </w:pPr>
      <w:r w:rsidRPr="007F39F6">
        <w:rPr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774CEF27" wp14:editId="5D7FA2C1">
            <wp:extent cx="5303980" cy="3810330"/>
            <wp:effectExtent l="0" t="0" r="0" b="0"/>
            <wp:docPr id="34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03980" cy="381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623F" w:rsidRPr="007F39F6" w:rsidRDefault="00DD623F" w:rsidP="00DD623F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Figure-S5</w:t>
      </w:r>
      <w:r w:rsidRPr="007F39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  <w:r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Interaction Profile of potent compounds against the </w:t>
      </w:r>
      <w:r w:rsidRPr="007F39F6">
        <w:rPr>
          <w:rFonts w:ascii="Times New Roman" w:hAnsi="Times New Roman" w:cs="Times New Roman"/>
          <w:bCs/>
          <w:i/>
          <w:iCs/>
          <w:color w:val="000000" w:themeColor="text1"/>
          <w:sz w:val="24"/>
          <w:szCs w:val="24"/>
        </w:rPr>
        <w:t>α</w:t>
      </w:r>
      <w:r w:rsidRPr="007F39F6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-amylase</w:t>
      </w:r>
      <w:r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enzyme. </w:t>
      </w:r>
      <w:r w:rsidRPr="007F39F6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a-d</w:t>
      </w:r>
      <w:r w:rsidRPr="007F39F6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for compounds </w:t>
      </w:r>
      <w:r w:rsidRPr="007F39F6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2</w:t>
      </w:r>
      <w:r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Pr="007F39F6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4</w:t>
      </w:r>
      <w:r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Pr="007F39F6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7</w:t>
      </w:r>
      <w:r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and </w:t>
      </w:r>
      <w:r w:rsidRPr="007F39F6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9</w:t>
      </w:r>
      <w:r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>, respectively, double-sided arrow and dashes lines indicate pi-stacking and hydrogen interaction.</w:t>
      </w:r>
    </w:p>
    <w:p w:rsidR="00DD623F" w:rsidRPr="007F39F6" w:rsidRDefault="00DD623F" w:rsidP="00DD623F">
      <w:pPr>
        <w:spacing w:before="240"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Table-S2</w:t>
      </w:r>
      <w:r w:rsidRPr="007F39F6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:</w:t>
      </w:r>
      <w:r w:rsidRPr="007F39F6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Interaction data for compounds </w:t>
      </w:r>
      <w:r w:rsidRPr="007F39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1-33</w:t>
      </w:r>
      <w:r w:rsidRPr="007F39F6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.</w:t>
      </w:r>
    </w:p>
    <w:tbl>
      <w:tblPr>
        <w:tblStyle w:val="TableGrid"/>
        <w:tblW w:w="9700" w:type="dxa"/>
        <w:jc w:val="center"/>
        <w:tblLayout w:type="fixed"/>
        <w:tblLook w:val="04A0" w:firstRow="1" w:lastRow="0" w:firstColumn="1" w:lastColumn="0" w:noHBand="0" w:noVBand="1"/>
      </w:tblPr>
      <w:tblGrid>
        <w:gridCol w:w="955"/>
        <w:gridCol w:w="1115"/>
        <w:gridCol w:w="1170"/>
        <w:gridCol w:w="1424"/>
        <w:gridCol w:w="1096"/>
        <w:gridCol w:w="1080"/>
        <w:gridCol w:w="1413"/>
        <w:gridCol w:w="1447"/>
      </w:tblGrid>
      <w:tr w:rsidR="00DD623F" w:rsidRPr="007F39F6" w:rsidTr="00E94EEA">
        <w:trPr>
          <w:trHeight w:val="20"/>
          <w:jc w:val="center"/>
        </w:trPr>
        <w:tc>
          <w:tcPr>
            <w:tcW w:w="955" w:type="dxa"/>
            <w:vMerge w:val="restart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Comp.</w:t>
            </w:r>
          </w:p>
        </w:tc>
        <w:tc>
          <w:tcPr>
            <w:tcW w:w="7298" w:type="dxa"/>
            <w:gridSpan w:val="6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Interaction details</w:t>
            </w:r>
          </w:p>
        </w:tc>
        <w:tc>
          <w:tcPr>
            <w:tcW w:w="1447" w:type="dxa"/>
            <w:vMerge w:val="restart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4"/>
              </w:rPr>
              <w:t>Docking score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Merge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Ligands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Receptor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Interaction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Distance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E cal/mol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Residue</w:t>
            </w:r>
          </w:p>
        </w:tc>
        <w:tc>
          <w:tcPr>
            <w:tcW w:w="1447" w:type="dxa"/>
            <w:vMerge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1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12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12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NH1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NH2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 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3-14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3.52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-0.6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ARG319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ARG319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-4.29926062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20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6-ring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NH1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CA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H-donor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π-cation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π-cation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3.00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3.66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3.50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-1.7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-0.5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-0.9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ASN430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ARG319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ARG267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-5.54966974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3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   19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 21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ODI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NH2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H-donor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3.24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2.76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-0.6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-3.1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ASP433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ARG319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-5.07143116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4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6-ring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CE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NH1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 π-cation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3.05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3.51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-1.0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-1.4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ARG319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-4.75101042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5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6-ring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NZ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π-cation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3.71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-1.3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-5.02969456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6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22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CE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3.21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-1.6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-5.0619216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7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N   20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N   20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NH2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H-donor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3.31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3.53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-0.9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-0.7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ASN430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ARG319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-5.00436354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8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N   20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6-ring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NH1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NZ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 π-cation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3.67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3.42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-1.2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-1.8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ARG319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-5.19214249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9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6-ring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Cl   17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NH2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CA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π-cation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3.88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3.61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-1.5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-0.7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ARG319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ARG267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-4.95994854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lastRenderedPageBreak/>
              <w:t>10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23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2.07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-0.8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ARG319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-5.19688082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11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CA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CE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3.61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3.36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-0.5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-0.9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ARG267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-5.196208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12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20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CA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3.54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-0.5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ASP433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-5.08518839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13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20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ODI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CE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H-donor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2.80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3.61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-0.5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-0.9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ASN431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-5.50869513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14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CA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CE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 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3.27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3.55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-0.7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-1.0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ARG267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-5.35262394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15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CA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3.61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-0.7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ARG267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-4.99429464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16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CE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3.58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-1.0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-5.42532587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17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CA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3.43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-0.8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ARG267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-5.30218649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18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CA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3.42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-0.7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ARG267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-5.04802227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19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CE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3.16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-1.1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-5.06601286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20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5-ring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NZ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π-cation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3.47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-0.8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-5.12210989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21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5-ring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NZ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π-cation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3.46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-1.2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-4.99122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22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NZ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3.25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-2.7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-4.88413477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23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5-ring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NZ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NZ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 π-cation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3.39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3.47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-1.9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-0.5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-4.78715372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24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S   18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ODI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H-donor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3.35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-2.1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ASP433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-4.8910594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25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6-ring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CE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NH1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 π-cation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2.96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3.54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-1.2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-0.5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ARG319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-4.77398682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26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O   11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CE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H-Acceptor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3.17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-1.1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-5.06489849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27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28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29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30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31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32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NA</w:t>
            </w:r>
          </w:p>
        </w:tc>
      </w:tr>
      <w:tr w:rsidR="00DD623F" w:rsidRPr="007F39F6" w:rsidTr="00E94EEA">
        <w:trPr>
          <w:trHeight w:val="20"/>
          <w:jc w:val="center"/>
        </w:trPr>
        <w:tc>
          <w:tcPr>
            <w:tcW w:w="95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/>
                <w:color w:val="000000" w:themeColor="text1"/>
                <w:sz w:val="22"/>
              </w:rPr>
              <w:t>33</w:t>
            </w:r>
          </w:p>
        </w:tc>
        <w:tc>
          <w:tcPr>
            <w:tcW w:w="1115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5-ring</w:t>
            </w:r>
          </w:p>
        </w:tc>
        <w:tc>
          <w:tcPr>
            <w:tcW w:w="117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CD</w:t>
            </w:r>
          </w:p>
        </w:tc>
        <w:tc>
          <w:tcPr>
            <w:tcW w:w="1424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π-H</w:t>
            </w:r>
          </w:p>
        </w:tc>
        <w:tc>
          <w:tcPr>
            <w:tcW w:w="1096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3.58</w:t>
            </w:r>
          </w:p>
        </w:tc>
        <w:tc>
          <w:tcPr>
            <w:tcW w:w="1080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color w:val="000000" w:themeColor="text1"/>
                <w:sz w:val="22"/>
              </w:rPr>
              <w:t>-0.5</w:t>
            </w:r>
          </w:p>
        </w:tc>
        <w:tc>
          <w:tcPr>
            <w:tcW w:w="1413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LYS268 (A)</w:t>
            </w:r>
          </w:p>
        </w:tc>
        <w:tc>
          <w:tcPr>
            <w:tcW w:w="1447" w:type="dxa"/>
            <w:vAlign w:val="center"/>
          </w:tcPr>
          <w:p w:rsidR="00DD623F" w:rsidRPr="007F39F6" w:rsidRDefault="00DD623F" w:rsidP="00E94EEA">
            <w:pPr>
              <w:jc w:val="center"/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</w:pPr>
            <w:r w:rsidRPr="007F39F6">
              <w:rPr>
                <w:rFonts w:ascii="Times New Roman" w:hAnsi="Times New Roman" w:cs="Times New Roman"/>
                <w:bCs/>
                <w:color w:val="000000" w:themeColor="text1"/>
                <w:sz w:val="22"/>
              </w:rPr>
              <w:t>-5.1667881</w:t>
            </w:r>
          </w:p>
        </w:tc>
      </w:tr>
    </w:tbl>
    <w:p w:rsidR="00DD623F" w:rsidRPr="007F39F6" w:rsidRDefault="00DD623F" w:rsidP="00DD62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F39F6">
        <w:rPr>
          <w:i/>
          <w:noProof/>
        </w:rPr>
        <w:lastRenderedPageBreak/>
        <w:drawing>
          <wp:inline distT="0" distB="0" distL="0" distR="0" wp14:anchorId="710E6B97" wp14:editId="514261F0">
            <wp:extent cx="5943600" cy="3444480"/>
            <wp:effectExtent l="0" t="0" r="0" b="3810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DD623F" w:rsidRPr="007F39F6" w:rsidRDefault="00DD623F" w:rsidP="00DD623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Figure-S6</w:t>
      </w:r>
      <w:r w:rsidRPr="007F39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  <w:r w:rsidRPr="007F39F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Graphical representation of variation in DPPH and ABTS radical scavenging activity of compounds </w:t>
      </w:r>
      <w:r w:rsidRPr="007F39F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1-33</w:t>
      </w:r>
    </w:p>
    <w:p w:rsidR="00DD623F" w:rsidRDefault="00DD623F" w:rsidP="00DD623F">
      <w:pPr>
        <w:spacing w:before="240" w:after="240" w:line="360" w:lineRule="auto"/>
      </w:pPr>
    </w:p>
    <w:sectPr w:rsidR="00DD623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47ABB" w:rsidRDefault="00747ABB" w:rsidP="003E73B4">
      <w:pPr>
        <w:spacing w:after="0" w:line="240" w:lineRule="auto"/>
      </w:pPr>
      <w:r>
        <w:separator/>
      </w:r>
    </w:p>
  </w:endnote>
  <w:endnote w:type="continuationSeparator" w:id="0">
    <w:p w:rsidR="00747ABB" w:rsidRDefault="00747ABB" w:rsidP="003E73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47ABB" w:rsidRDefault="00747ABB" w:rsidP="003E73B4">
      <w:pPr>
        <w:spacing w:after="0" w:line="240" w:lineRule="auto"/>
      </w:pPr>
      <w:r>
        <w:separator/>
      </w:r>
    </w:p>
  </w:footnote>
  <w:footnote w:type="continuationSeparator" w:id="0">
    <w:p w:rsidR="00747ABB" w:rsidRDefault="00747ABB" w:rsidP="003E73B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73B4"/>
    <w:rsid w:val="002A2FC8"/>
    <w:rsid w:val="003E73B4"/>
    <w:rsid w:val="00703A6C"/>
    <w:rsid w:val="00747ABB"/>
    <w:rsid w:val="009E5948"/>
    <w:rsid w:val="00DD623F"/>
    <w:rsid w:val="00F47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CE9F22"/>
  <w15:chartTrackingRefBased/>
  <w15:docId w15:val="{07628EEF-1D4F-4BF5-B688-421A97F168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73B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link w:val="CommentTextChar"/>
    <w:uiPriority w:val="99"/>
    <w:unhideWhenUsed/>
    <w:rsid w:val="003E73B4"/>
    <w:pPr>
      <w:spacing w:line="240" w:lineRule="auto"/>
    </w:pPr>
    <w:rPr>
      <w:rFonts w:eastAsiaTheme="minorEastAsia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E73B4"/>
    <w:rPr>
      <w:rFonts w:eastAsiaTheme="minorEastAsia"/>
      <w:sz w:val="20"/>
      <w:szCs w:val="20"/>
    </w:rPr>
  </w:style>
  <w:style w:type="paragraph" w:styleId="NoSpacing">
    <w:name w:val="No Spacing"/>
    <w:uiPriority w:val="1"/>
    <w:rsid w:val="003E73B4"/>
    <w:pPr>
      <w:spacing w:after="0" w:line="240" w:lineRule="auto"/>
    </w:pPr>
    <w:rPr>
      <w:rFonts w:ascii="Calibri" w:eastAsia="Calibri" w:hAnsi="Calibri" w:cs="Times New Roman"/>
      <w:lang w:val="en-IN"/>
    </w:rPr>
  </w:style>
  <w:style w:type="character" w:styleId="FootnoteReference">
    <w:name w:val="footnote reference"/>
    <w:semiHidden/>
    <w:unhideWhenUsed/>
    <w:rsid w:val="003E73B4"/>
    <w:rPr>
      <w:vertAlign w:val="superscript"/>
    </w:rPr>
  </w:style>
  <w:style w:type="paragraph" w:styleId="BodyText">
    <w:name w:val="Body Text"/>
    <w:basedOn w:val="Normal"/>
    <w:link w:val="BodyTextChar"/>
    <w:uiPriority w:val="1"/>
    <w:qFormat/>
    <w:rsid w:val="00DD623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DD623F"/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DD623F"/>
    <w:pPr>
      <w:spacing w:after="0" w:line="240" w:lineRule="auto"/>
    </w:pPr>
    <w:rPr>
      <w:kern w:val="2"/>
      <w:sz w:val="2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Normal"/>
    <w:uiPriority w:val="1"/>
    <w:qFormat/>
    <w:rsid w:val="00DD623F"/>
    <w:pPr>
      <w:widowControl w:val="0"/>
      <w:autoSpaceDE w:val="0"/>
      <w:autoSpaceDN w:val="0"/>
      <w:spacing w:before="111" w:after="0" w:line="266" w:lineRule="exact"/>
      <w:ind w:left="109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chart" Target="charts/chart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4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DPPH and ABTS Radical Scavenging</a:t>
            </a:r>
            <a:r>
              <a:rPr lang="en-US" baseline="0"/>
              <a:t> Activity</a:t>
            </a:r>
            <a:endParaRPr lang="en-US"/>
          </a:p>
        </c:rich>
      </c:tx>
      <c:layout>
        <c:manualLayout>
          <c:xMode val="edge"/>
          <c:yMode val="edge"/>
          <c:x val="0.14416666666666664"/>
          <c:y val="2.0655355027524216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8.9811184316246184E-2"/>
          <c:y val="3.8944946008143036E-2"/>
          <c:w val="0.87952048851036457"/>
          <c:h val="0.7268543104974333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DPPH </c:v>
                </c:pt>
              </c:strCache>
            </c:strRef>
          </c:tx>
          <c:invertIfNegative val="0"/>
          <c:cat>
            <c:strRef>
              <c:f>Sheet1!$A$2:$A$35</c:f>
              <c:strCache>
                <c:ptCount val="3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Ascobic Acid</c:v>
                </c:pt>
              </c:strCache>
            </c:strRef>
          </c:cat>
          <c:val>
            <c:numRef>
              <c:f>Sheet1!$B$2:$B$35</c:f>
              <c:numCache>
                <c:formatCode>General</c:formatCode>
                <c:ptCount val="34"/>
                <c:pt idx="0">
                  <c:v>41.7</c:v>
                </c:pt>
                <c:pt idx="1">
                  <c:v>13.860000000000001</c:v>
                </c:pt>
                <c:pt idx="2">
                  <c:v>16.329999999999995</c:v>
                </c:pt>
                <c:pt idx="3">
                  <c:v>19.04</c:v>
                </c:pt>
                <c:pt idx="4">
                  <c:v>46.65</c:v>
                </c:pt>
                <c:pt idx="5">
                  <c:v>50.7</c:v>
                </c:pt>
                <c:pt idx="6">
                  <c:v>15.860000000000001</c:v>
                </c:pt>
                <c:pt idx="7">
                  <c:v>37.630000000000003</c:v>
                </c:pt>
                <c:pt idx="8">
                  <c:v>21.04</c:v>
                </c:pt>
                <c:pt idx="9">
                  <c:v>65.7</c:v>
                </c:pt>
                <c:pt idx="10">
                  <c:v>15.33</c:v>
                </c:pt>
                <c:pt idx="11">
                  <c:v>48.65</c:v>
                </c:pt>
                <c:pt idx="12">
                  <c:v>64.040000000000006</c:v>
                </c:pt>
                <c:pt idx="13">
                  <c:v>30.86</c:v>
                </c:pt>
                <c:pt idx="14">
                  <c:v>39.93</c:v>
                </c:pt>
                <c:pt idx="15">
                  <c:v>35.33</c:v>
                </c:pt>
                <c:pt idx="16">
                  <c:v>52.17</c:v>
                </c:pt>
                <c:pt idx="17">
                  <c:v>43.57</c:v>
                </c:pt>
                <c:pt idx="18">
                  <c:v>63.04</c:v>
                </c:pt>
                <c:pt idx="19">
                  <c:v>50.7</c:v>
                </c:pt>
                <c:pt idx="20">
                  <c:v>35.630000000000003</c:v>
                </c:pt>
                <c:pt idx="21">
                  <c:v>38.65</c:v>
                </c:pt>
                <c:pt idx="22">
                  <c:v>36.33</c:v>
                </c:pt>
                <c:pt idx="23">
                  <c:v>55.7</c:v>
                </c:pt>
                <c:pt idx="24">
                  <c:v>42.86</c:v>
                </c:pt>
                <c:pt idx="25">
                  <c:v>50.7</c:v>
                </c:pt>
                <c:pt idx="26">
                  <c:v>63.46</c:v>
                </c:pt>
                <c:pt idx="27">
                  <c:v>54.42</c:v>
                </c:pt>
                <c:pt idx="28">
                  <c:v>95.93</c:v>
                </c:pt>
                <c:pt idx="29">
                  <c:v>66.33</c:v>
                </c:pt>
                <c:pt idx="30">
                  <c:v>75.169999999999987</c:v>
                </c:pt>
                <c:pt idx="31">
                  <c:v>63.846000000000004</c:v>
                </c:pt>
                <c:pt idx="32">
                  <c:v>53.11</c:v>
                </c:pt>
                <c:pt idx="33">
                  <c:v>15.98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256-4D1A-ACAA-22ACA3B340E1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ABTS</c:v>
                </c:pt>
              </c:strCache>
            </c:strRef>
          </c:tx>
          <c:invertIfNegative val="0"/>
          <c:cat>
            <c:strRef>
              <c:f>Sheet1!$A$2:$A$35</c:f>
              <c:strCache>
                <c:ptCount val="34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Ascobic Acid</c:v>
                </c:pt>
              </c:strCache>
            </c:strRef>
          </c:cat>
          <c:val>
            <c:numRef>
              <c:f>Sheet1!$C$2:$C$35</c:f>
              <c:numCache>
                <c:formatCode>General</c:formatCode>
                <c:ptCount val="34"/>
                <c:pt idx="0">
                  <c:v>43.97</c:v>
                </c:pt>
                <c:pt idx="1">
                  <c:v>13.709999999999999</c:v>
                </c:pt>
                <c:pt idx="2">
                  <c:v>29.01</c:v>
                </c:pt>
                <c:pt idx="3">
                  <c:v>21.99</c:v>
                </c:pt>
                <c:pt idx="4">
                  <c:v>47.47</c:v>
                </c:pt>
                <c:pt idx="5">
                  <c:v>51.97</c:v>
                </c:pt>
                <c:pt idx="6">
                  <c:v>27.71</c:v>
                </c:pt>
                <c:pt idx="7">
                  <c:v>39.790000000000006</c:v>
                </c:pt>
                <c:pt idx="8">
                  <c:v>20.99</c:v>
                </c:pt>
                <c:pt idx="9">
                  <c:v>66.97</c:v>
                </c:pt>
                <c:pt idx="10">
                  <c:v>25.01</c:v>
                </c:pt>
                <c:pt idx="11">
                  <c:v>49.47</c:v>
                </c:pt>
                <c:pt idx="12">
                  <c:v>65.989999999999995</c:v>
                </c:pt>
                <c:pt idx="13">
                  <c:v>31.71</c:v>
                </c:pt>
                <c:pt idx="14">
                  <c:v>36.790000000000006</c:v>
                </c:pt>
                <c:pt idx="15">
                  <c:v>36.01</c:v>
                </c:pt>
                <c:pt idx="16">
                  <c:v>52.01</c:v>
                </c:pt>
                <c:pt idx="17">
                  <c:v>43.68</c:v>
                </c:pt>
                <c:pt idx="18">
                  <c:v>64.989999999999995</c:v>
                </c:pt>
                <c:pt idx="19">
                  <c:v>51.97</c:v>
                </c:pt>
                <c:pt idx="20">
                  <c:v>36.790000000000006</c:v>
                </c:pt>
                <c:pt idx="21">
                  <c:v>39.47</c:v>
                </c:pt>
                <c:pt idx="22">
                  <c:v>39.01</c:v>
                </c:pt>
                <c:pt idx="23">
                  <c:v>55.97</c:v>
                </c:pt>
                <c:pt idx="24">
                  <c:v>43.71</c:v>
                </c:pt>
                <c:pt idx="25">
                  <c:v>51.97</c:v>
                </c:pt>
                <c:pt idx="26">
                  <c:v>62.71</c:v>
                </c:pt>
                <c:pt idx="27">
                  <c:v>53.71</c:v>
                </c:pt>
                <c:pt idx="28">
                  <c:v>92.29</c:v>
                </c:pt>
                <c:pt idx="29">
                  <c:v>69.010000000000005</c:v>
                </c:pt>
                <c:pt idx="30">
                  <c:v>75.97</c:v>
                </c:pt>
                <c:pt idx="31">
                  <c:v>62.71</c:v>
                </c:pt>
                <c:pt idx="32">
                  <c:v>56.71</c:v>
                </c:pt>
                <c:pt idx="33">
                  <c:v>15.79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256-4D1A-ACAA-22ACA3B340E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9065344"/>
        <c:axId val="89066880"/>
      </c:barChart>
      <c:catAx>
        <c:axId val="8906534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 sz="1200"/>
                </a:pPr>
                <a:r>
                  <a:rPr lang="en-US" sz="1200"/>
                  <a:t>Compounds</a:t>
                </a:r>
              </a:p>
            </c:rich>
          </c:tx>
          <c:layout>
            <c:manualLayout>
              <c:xMode val="edge"/>
              <c:yMode val="edge"/>
              <c:x val="0.44622448979591839"/>
              <c:y val="0.86723313860860329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en-US"/>
          </a:p>
        </c:txPr>
        <c:crossAx val="89066880"/>
        <c:crosses val="autoZero"/>
        <c:auto val="0"/>
        <c:lblAlgn val="ctr"/>
        <c:lblOffset val="100"/>
        <c:tickLblSkip val="1"/>
        <c:noMultiLvlLbl val="0"/>
      </c:catAx>
      <c:valAx>
        <c:axId val="89066880"/>
        <c:scaling>
          <c:orientation val="minMax"/>
          <c:max val="110"/>
          <c:min val="0"/>
        </c:scaling>
        <c:delete val="0"/>
        <c:axPos val="l"/>
        <c:title>
          <c:tx>
            <c:rich>
              <a:bodyPr/>
              <a:lstStyle/>
              <a:p>
                <a:pPr>
                  <a:defRPr sz="1200"/>
                </a:pPr>
                <a:r>
                  <a:rPr lang="en-US" sz="1200"/>
                  <a:t>IC</a:t>
                </a:r>
                <a:r>
                  <a:rPr lang="en-US" sz="1200" baseline="-25000"/>
                  <a:t>50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en-US"/>
          </a:p>
        </c:txPr>
        <c:crossAx val="89065344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4.2801060581712944E-2"/>
          <c:y val="0.87842374721747152"/>
          <c:w val="0.21842342921420538"/>
          <c:h val="0.12012160190013423"/>
        </c:manualLayout>
      </c:layout>
      <c:overlay val="0"/>
      <c:txPr>
        <a:bodyPr/>
        <a:lstStyle/>
        <a:p>
          <a:pPr>
            <a:defRPr b="1"/>
          </a:pPr>
          <a:endParaRPr lang="en-US"/>
        </a:p>
      </c:txPr>
    </c:legend>
    <c:plotVisOnly val="1"/>
    <c:dispBlanksAs val="gap"/>
    <c:showDLblsOverMax val="0"/>
  </c:chart>
  <c:txPr>
    <a:bodyPr/>
    <a:lstStyle/>
    <a:p>
      <a:pPr>
        <a:defRPr i="0">
          <a:latin typeface="Times New Roman" panose="02020603050405020304" pitchFamily="18" charset="0"/>
          <a:cs typeface="Times New Roman" panose="02020603050405020304" pitchFamily="18" charset="0"/>
        </a:defRPr>
      </a:pPr>
      <a:endParaRPr lang="en-US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582</Words>
  <Characters>3320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SHEHRYAR HAMEED</dc:creator>
  <cp:keywords/>
  <dc:description/>
  <cp:lastModifiedBy>SHEHRYAR HAMEED</cp:lastModifiedBy>
  <cp:revision>3</cp:revision>
  <dcterms:created xsi:type="dcterms:W3CDTF">2022-10-10T04:57:00Z</dcterms:created>
  <dcterms:modified xsi:type="dcterms:W3CDTF">2022-10-10T05:51:00Z</dcterms:modified>
</cp:coreProperties>
</file>