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3A218" w14:textId="77777777" w:rsidR="00F32B78" w:rsidRPr="000515B0" w:rsidRDefault="00F32B78" w:rsidP="002F4D77">
      <w:pPr>
        <w:spacing w:line="190" w:lineRule="atLeast"/>
        <w:jc w:val="left"/>
        <w:rPr>
          <w:rFonts w:ascii="Arial" w:hAnsi="Arial" w:cs="Arial" w:hint="default"/>
          <w:b/>
          <w:bCs/>
          <w:sz w:val="28"/>
        </w:rPr>
      </w:pPr>
      <w:r w:rsidRPr="000515B0">
        <w:rPr>
          <w:rFonts w:ascii="Arial" w:hAnsi="Arial" w:cs="Arial" w:hint="default"/>
          <w:b/>
          <w:bCs/>
          <w:sz w:val="28"/>
        </w:rPr>
        <w:t>Supplementary Materials</w:t>
      </w:r>
    </w:p>
    <w:p w14:paraId="7FEE497B" w14:textId="6AA9CBA4" w:rsidR="00F32B78" w:rsidRPr="000515B0" w:rsidRDefault="00F32B78" w:rsidP="002F4D77">
      <w:pPr>
        <w:spacing w:line="480" w:lineRule="auto"/>
        <w:rPr>
          <w:rFonts w:ascii="Arial" w:hAnsi="Arial" w:cs="Arial" w:hint="default"/>
          <w:b/>
          <w:bCs/>
          <w:sz w:val="28"/>
          <w:szCs w:val="32"/>
        </w:rPr>
      </w:pPr>
      <w:r w:rsidRPr="000515B0">
        <w:rPr>
          <w:rFonts w:ascii="Arial" w:hAnsi="Arial" w:cs="Arial" w:hint="default"/>
          <w:b/>
          <w:bCs/>
          <w:sz w:val="28"/>
          <w:szCs w:val="32"/>
        </w:rPr>
        <w:t xml:space="preserve">Nanoparticle vaccine based on the envelope protein domain </w:t>
      </w:r>
      <w:proofErr w:type="gramStart"/>
      <w:r w:rsidRPr="000515B0">
        <w:rPr>
          <w:rFonts w:ascii="Arial" w:hAnsi="Arial" w:cs="Arial" w:hint="default"/>
          <w:b/>
          <w:bCs/>
          <w:sz w:val="28"/>
          <w:szCs w:val="32"/>
        </w:rPr>
        <w:t>III  of</w:t>
      </w:r>
      <w:proofErr w:type="gramEnd"/>
      <w:r w:rsidRPr="000515B0">
        <w:rPr>
          <w:rFonts w:ascii="Arial" w:hAnsi="Arial" w:cs="Arial" w:hint="default"/>
          <w:b/>
          <w:bCs/>
          <w:sz w:val="28"/>
          <w:szCs w:val="32"/>
        </w:rPr>
        <w:t xml:space="preserve"> JEV elicits robust protective immune responses in mice</w:t>
      </w:r>
    </w:p>
    <w:p w14:paraId="738600EC" w14:textId="77777777" w:rsidR="00F32B78" w:rsidRPr="00644110" w:rsidRDefault="00F32B78" w:rsidP="00EA5CF8">
      <w:pPr>
        <w:spacing w:beforeLines="50" w:before="156" w:afterLines="50" w:after="156" w:line="360" w:lineRule="auto"/>
        <w:rPr>
          <w:rFonts w:ascii="Arial" w:hAnsi="Arial" w:cs="Arial" w:hint="default"/>
          <w:b/>
          <w:sz w:val="24"/>
          <w:szCs w:val="24"/>
          <w:u w:val="single"/>
        </w:rPr>
      </w:pPr>
      <w:r w:rsidRPr="00644110">
        <w:rPr>
          <w:rFonts w:ascii="Arial" w:hAnsi="Arial" w:cs="Arial" w:hint="default"/>
          <w:b/>
          <w:sz w:val="24"/>
          <w:szCs w:val="24"/>
          <w:u w:val="single"/>
        </w:rPr>
        <w:t>SUPPLEMENTARY METHODS</w:t>
      </w:r>
    </w:p>
    <w:p w14:paraId="76DE46B5" w14:textId="168C0C54" w:rsidR="00F32B78" w:rsidRPr="005B4C95" w:rsidRDefault="00F32B78" w:rsidP="00EA5CF8">
      <w:pPr>
        <w:spacing w:beforeLines="50" w:before="156" w:afterLines="50" w:after="156" w:line="360" w:lineRule="auto"/>
        <w:rPr>
          <w:rFonts w:ascii="Arial" w:hAnsi="Arial" w:cs="Arial" w:hint="default"/>
          <w:b/>
          <w:bCs/>
          <w:sz w:val="24"/>
          <w:szCs w:val="24"/>
        </w:rPr>
      </w:pPr>
      <w:bookmarkStart w:id="0" w:name="OLE_LINK3"/>
      <w:r w:rsidRPr="005B4C95">
        <w:rPr>
          <w:rFonts w:ascii="Arial" w:hAnsi="Arial" w:cs="Arial"/>
          <w:b/>
          <w:bCs/>
          <w:sz w:val="24"/>
          <w:szCs w:val="24"/>
        </w:rPr>
        <w:t>DC</w:t>
      </w:r>
      <w:r w:rsidR="00403175">
        <w:rPr>
          <w:rFonts w:ascii="Arial" w:hAnsi="Arial" w:cs="Arial"/>
          <w:b/>
          <w:bCs/>
          <w:sz w:val="24"/>
          <w:szCs w:val="24"/>
        </w:rPr>
        <w:t>s</w:t>
      </w:r>
      <w:r w:rsidRPr="005B4C95">
        <w:rPr>
          <w:rFonts w:ascii="Arial" w:hAnsi="Arial" w:cs="Arial"/>
          <w:b/>
          <w:bCs/>
          <w:sz w:val="24"/>
          <w:szCs w:val="24"/>
        </w:rPr>
        <w:t xml:space="preserve"> uptake of nanoparticle proteins in vitro</w:t>
      </w:r>
    </w:p>
    <w:p w14:paraId="484B7A06" w14:textId="586FE403" w:rsidR="00F32B78" w:rsidRPr="00EE1F15" w:rsidRDefault="00F32B78" w:rsidP="004D6D65">
      <w:pPr>
        <w:spacing w:line="480" w:lineRule="auto"/>
        <w:ind w:firstLineChars="200" w:firstLine="480"/>
        <w:rPr>
          <w:rFonts w:ascii="Arial" w:hAnsi="Arial" w:cs="Arial" w:hint="default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653501">
        <w:rPr>
          <w:rFonts w:ascii="Arial" w:hAnsi="Arial" w:cs="Arial"/>
          <w:sz w:val="24"/>
          <w:szCs w:val="24"/>
        </w:rPr>
        <w:t>urine bone-marrow-derived DCs (BMDCs)</w:t>
      </w:r>
      <w:r>
        <w:rPr>
          <w:rFonts w:ascii="Arial" w:hAnsi="Arial" w:cs="Arial"/>
          <w:sz w:val="24"/>
          <w:szCs w:val="24"/>
        </w:rPr>
        <w:t xml:space="preserve"> were isolated from </w:t>
      </w:r>
      <w:r w:rsidRPr="00653501">
        <w:rPr>
          <w:rFonts w:ascii="Arial" w:hAnsi="Arial" w:cs="Arial"/>
          <w:sz w:val="24"/>
          <w:szCs w:val="24"/>
        </w:rPr>
        <w:t xml:space="preserve">6-week-old C57BL/6 mice as previously described </w:t>
      </w:r>
      <w:r>
        <w:rPr>
          <w:rFonts w:ascii="Arial" w:hAnsi="Arial" w:cs="Arial" w:hint="default"/>
          <w:noProof/>
          <w:sz w:val="24"/>
          <w:szCs w:val="24"/>
        </w:rPr>
        <w:t>[1]</w:t>
      </w:r>
      <w:r w:rsidRPr="00653501">
        <w:rPr>
          <w:rFonts w:ascii="Arial" w:hAnsi="Arial" w:cs="Arial"/>
          <w:sz w:val="24"/>
          <w:szCs w:val="24"/>
        </w:rPr>
        <w:t xml:space="preserve">. Briefly, bone marrow cells were isolated from the tibia and femur of sacrificed mice and </w:t>
      </w:r>
      <w:r>
        <w:rPr>
          <w:rFonts w:ascii="Arial" w:hAnsi="Arial" w:cs="Arial"/>
          <w:sz w:val="24"/>
          <w:szCs w:val="24"/>
        </w:rPr>
        <w:t xml:space="preserve">cultured </w:t>
      </w:r>
      <w:r w:rsidRPr="00653501">
        <w:rPr>
          <w:rFonts w:ascii="Arial" w:hAnsi="Arial" w:cs="Arial"/>
          <w:sz w:val="24"/>
          <w:szCs w:val="24"/>
        </w:rPr>
        <w:t>in RPMI 1640 supplemented with 10% FBS,</w:t>
      </w:r>
      <w:r w:rsidRPr="00127886">
        <w:rPr>
          <w:rFonts w:ascii="Arial" w:hAnsi="Arial" w:cs="Arial"/>
          <w:sz w:val="24"/>
          <w:szCs w:val="24"/>
        </w:rPr>
        <w:t xml:space="preserve"> </w:t>
      </w:r>
      <w:r w:rsidRPr="00653501">
        <w:rPr>
          <w:rFonts w:ascii="Arial" w:hAnsi="Arial" w:cs="Arial"/>
          <w:sz w:val="24"/>
          <w:szCs w:val="24"/>
        </w:rPr>
        <w:t xml:space="preserve">10 ng/mL interleukin 4 (IL-4; R&amp;D Systems, USA), </w:t>
      </w:r>
      <w:r w:rsidRPr="00EE1F15">
        <w:rPr>
          <w:rFonts w:ascii="Arial" w:hAnsi="Arial" w:cs="Arial" w:hint="default"/>
          <w:sz w:val="24"/>
          <w:szCs w:val="24"/>
        </w:rPr>
        <w:t xml:space="preserve">20 ng/mL granulocyte-macrophage colony-stimulating factor (GM-CSF, R&amp;D Systems, USA), and 50 </w:t>
      </w:r>
      <w:proofErr w:type="spellStart"/>
      <w:r w:rsidRPr="00EE1F15">
        <w:rPr>
          <w:rFonts w:ascii="Arial" w:hAnsi="Arial" w:cs="Arial" w:hint="default"/>
          <w:sz w:val="24"/>
          <w:szCs w:val="24"/>
        </w:rPr>
        <w:t>μM</w:t>
      </w:r>
      <w:proofErr w:type="spellEnd"/>
      <w:r w:rsidRPr="00EE1F15">
        <w:rPr>
          <w:rFonts w:ascii="Arial" w:hAnsi="Arial" w:cs="Arial" w:hint="default"/>
          <w:sz w:val="24"/>
          <w:szCs w:val="24"/>
        </w:rPr>
        <w:t xml:space="preserve"> β-</w:t>
      </w:r>
      <w:proofErr w:type="spellStart"/>
      <w:r w:rsidRPr="00EE1F15">
        <w:rPr>
          <w:rFonts w:ascii="Arial" w:hAnsi="Arial" w:cs="Arial" w:hint="default"/>
          <w:sz w:val="24"/>
          <w:szCs w:val="24"/>
        </w:rPr>
        <w:t>mercaptoethanol</w:t>
      </w:r>
      <w:proofErr w:type="spellEnd"/>
      <w:r w:rsidRPr="00EE1F15">
        <w:rPr>
          <w:rFonts w:ascii="Arial" w:hAnsi="Arial" w:cs="Arial" w:hint="default"/>
          <w:sz w:val="24"/>
          <w:szCs w:val="24"/>
        </w:rPr>
        <w:t xml:space="preserve"> (Sigma, USA), and 50% of the medium was replaced on 3 and 5 days. After 6 days</w:t>
      </w:r>
      <w:r w:rsidRPr="004E320E">
        <w:rPr>
          <w:rFonts w:ascii="Arial" w:hAnsi="Arial" w:cs="Arial" w:hint="default"/>
          <w:color w:val="000000" w:themeColor="text1"/>
          <w:sz w:val="24"/>
          <w:szCs w:val="24"/>
        </w:rPr>
        <w:t xml:space="preserve"> </w:t>
      </w:r>
      <w:r w:rsidR="000D53B8" w:rsidRPr="004E320E">
        <w:rPr>
          <w:rFonts w:ascii="Arial" w:hAnsi="Arial" w:cs="Arial" w:hint="default"/>
          <w:color w:val="000000" w:themeColor="text1"/>
          <w:sz w:val="24"/>
          <w:szCs w:val="24"/>
        </w:rPr>
        <w:t>of</w:t>
      </w:r>
      <w:r w:rsidR="000D53B8" w:rsidRPr="0013239E">
        <w:rPr>
          <w:rFonts w:ascii="Arial" w:hAnsi="Arial" w:cs="Arial" w:hint="default"/>
          <w:color w:val="FF0000"/>
          <w:sz w:val="24"/>
          <w:szCs w:val="24"/>
        </w:rPr>
        <w:t xml:space="preserve"> </w:t>
      </w:r>
      <w:r w:rsidRPr="00EE1F15">
        <w:rPr>
          <w:rFonts w:ascii="Arial" w:hAnsi="Arial" w:cs="Arial" w:hint="default"/>
          <w:sz w:val="24"/>
          <w:szCs w:val="24"/>
        </w:rPr>
        <w:t>culture, loose and nonadherent cells were collected and transferred to 12-well plates at a density of 5 × 10</w:t>
      </w:r>
      <w:r w:rsidRPr="00EE1F15">
        <w:rPr>
          <w:rFonts w:ascii="Arial" w:hAnsi="Arial" w:cs="Arial" w:hint="default"/>
          <w:sz w:val="24"/>
          <w:szCs w:val="24"/>
          <w:vertAlign w:val="superscript"/>
        </w:rPr>
        <w:t>5</w:t>
      </w:r>
      <w:r w:rsidRPr="00EE1F15">
        <w:rPr>
          <w:rFonts w:ascii="Arial" w:hAnsi="Arial" w:cs="Arial" w:hint="default"/>
          <w:sz w:val="24"/>
          <w:szCs w:val="24"/>
        </w:rPr>
        <w:t xml:space="preserve"> cells per well and cultured overnight.</w:t>
      </w:r>
    </w:p>
    <w:p w14:paraId="12952428" w14:textId="339A0B5F" w:rsidR="00F32B78" w:rsidRPr="005B4C95" w:rsidRDefault="00F32B78" w:rsidP="004D6D65">
      <w:pPr>
        <w:spacing w:line="480" w:lineRule="auto"/>
        <w:ind w:firstLineChars="200" w:firstLine="480"/>
        <w:rPr>
          <w:rFonts w:ascii="Arial" w:hAnsi="Arial" w:cs="Arial" w:hint="default"/>
          <w:sz w:val="24"/>
          <w:szCs w:val="24"/>
        </w:rPr>
      </w:pPr>
      <w:r w:rsidRPr="00653501">
        <w:rPr>
          <w:rFonts w:ascii="Arial" w:hAnsi="Arial" w:cs="Arial"/>
          <w:sz w:val="24"/>
          <w:szCs w:val="24"/>
        </w:rPr>
        <w:t>Indirect immunofluorescence assay (IFA) was performed</w:t>
      </w:r>
      <w:r>
        <w:rPr>
          <w:rFonts w:ascii="Arial" w:hAnsi="Arial" w:cs="Arial"/>
          <w:sz w:val="24"/>
          <w:szCs w:val="24"/>
        </w:rPr>
        <w:t xml:space="preserve"> t</w:t>
      </w:r>
      <w:r w:rsidRPr="00653501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detect whether LS and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D2041" w:rsidRPr="004E320E">
        <w:rPr>
          <w:rFonts w:ascii="Arial" w:hAnsi="Arial" w:cs="Arial"/>
          <w:color w:val="000000" w:themeColor="text1"/>
          <w:sz w:val="24"/>
          <w:szCs w:val="24"/>
        </w:rPr>
        <w:t>ED III-LS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n</w:t>
      </w:r>
      <w:r>
        <w:rPr>
          <w:rFonts w:ascii="Arial" w:hAnsi="Arial" w:cs="Arial"/>
          <w:sz w:val="24"/>
          <w:szCs w:val="24"/>
        </w:rPr>
        <w:t>anoparticles simulated</w:t>
      </w:r>
      <w:r w:rsidRPr="00653501">
        <w:rPr>
          <w:rFonts w:ascii="Arial" w:hAnsi="Arial" w:cs="Arial"/>
          <w:sz w:val="24"/>
          <w:szCs w:val="24"/>
        </w:rPr>
        <w:t xml:space="preserve"> DCs uptake</w:t>
      </w:r>
      <w:r w:rsidRPr="00653501" w:rsidDel="008C4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 previously describe</w:t>
      </w:r>
      <w:r w:rsidRPr="00744488">
        <w:rPr>
          <w:rFonts w:ascii="Arial" w:hAnsi="Arial" w:cs="Arial"/>
          <w:color w:val="000000" w:themeColor="text1"/>
          <w:sz w:val="24"/>
          <w:szCs w:val="24"/>
        </w:rPr>
        <w:t>d</w:t>
      </w:r>
      <w:r>
        <w:rPr>
          <w:rFonts w:ascii="Arial" w:hAnsi="Arial" w:cs="Arial" w:hint="default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 w:hint="default"/>
          <w:noProof/>
          <w:color w:val="000000" w:themeColor="text1"/>
          <w:sz w:val="24"/>
          <w:szCs w:val="24"/>
        </w:rPr>
        <w:t>[2]</w:t>
      </w:r>
      <w:r w:rsidRPr="00744488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53501">
        <w:rPr>
          <w:rFonts w:ascii="Arial" w:hAnsi="Arial" w:cs="Arial"/>
          <w:sz w:val="24"/>
          <w:szCs w:val="24"/>
        </w:rPr>
        <w:t>5</w:t>
      </w:r>
      <w:r w:rsidRPr="004E320E">
        <w:rPr>
          <w:rFonts w:ascii="Arial" w:hAnsi="Arial" w:cs="Arial" w:hint="default"/>
          <w:color w:val="FF0000"/>
          <w:sz w:val="24"/>
          <w:szCs w:val="24"/>
        </w:rPr>
        <w:t>×</w:t>
      </w:r>
      <w:r w:rsidRPr="00653501">
        <w:rPr>
          <w:rFonts w:ascii="Arial" w:hAnsi="Arial" w:cs="Arial"/>
          <w:sz w:val="24"/>
          <w:szCs w:val="24"/>
        </w:rPr>
        <w:t>10</w:t>
      </w:r>
      <w:r w:rsidRPr="00653501">
        <w:rPr>
          <w:rFonts w:ascii="Arial" w:hAnsi="Arial" w:cs="Arial"/>
          <w:sz w:val="24"/>
          <w:szCs w:val="24"/>
          <w:vertAlign w:val="superscript"/>
        </w:rPr>
        <w:t xml:space="preserve">5 </w:t>
      </w:r>
      <w:r w:rsidRPr="00653501">
        <w:rPr>
          <w:rFonts w:ascii="Arial" w:hAnsi="Arial" w:cs="Arial"/>
          <w:sz w:val="24"/>
          <w:szCs w:val="24"/>
        </w:rPr>
        <w:t>immature DCs in a 12-well plate were incubated with</w:t>
      </w:r>
      <w:r w:rsidRPr="00653501">
        <w:rPr>
          <w:rFonts w:ascii="Arial" w:hAnsi="Arial" w:cs="Arial"/>
        </w:rPr>
        <w:t xml:space="preserve"> </w:t>
      </w:r>
      <w:r w:rsidRPr="00653501">
        <w:rPr>
          <w:rFonts w:ascii="Arial" w:hAnsi="Arial" w:cs="Arial"/>
          <w:sz w:val="24"/>
          <w:szCs w:val="24"/>
        </w:rPr>
        <w:t>identical dose of LS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1D2041" w:rsidRPr="004E320E">
        <w:rPr>
          <w:rFonts w:ascii="Arial" w:hAnsi="Arial" w:cs="Arial"/>
          <w:color w:val="000000" w:themeColor="text1"/>
          <w:sz w:val="24"/>
          <w:szCs w:val="24"/>
        </w:rPr>
        <w:t>ED III</w:t>
      </w:r>
      <w:r w:rsidR="000D53B8" w:rsidRPr="004E320E">
        <w:rPr>
          <w:rFonts w:ascii="Arial" w:hAnsi="Arial" w:cs="Arial" w:hint="default"/>
          <w:color w:val="000000" w:themeColor="text1"/>
          <w:sz w:val="24"/>
          <w:szCs w:val="24"/>
        </w:rPr>
        <w:t>,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or </w:t>
      </w:r>
      <w:r w:rsidR="001D2041" w:rsidRPr="004E320E">
        <w:rPr>
          <w:rFonts w:ascii="Arial" w:hAnsi="Arial" w:cs="Arial"/>
          <w:color w:val="000000" w:themeColor="text1"/>
          <w:sz w:val="24"/>
          <w:szCs w:val="24"/>
        </w:rPr>
        <w:t>ED III-LS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for 4</w:t>
      </w:r>
      <w:r w:rsidRPr="00653501">
        <w:rPr>
          <w:rFonts w:ascii="Arial" w:hAnsi="Arial" w:cs="Arial"/>
          <w:sz w:val="24"/>
          <w:szCs w:val="24"/>
        </w:rPr>
        <w:t xml:space="preserve"> h. After incubation, the cells were fixed with 4% formaldehyde for 20 minutes before blocking with 5%</w:t>
      </w:r>
      <w:r>
        <w:rPr>
          <w:rFonts w:ascii="Arial" w:hAnsi="Arial" w:cs="Arial"/>
          <w:sz w:val="24"/>
          <w:szCs w:val="24"/>
        </w:rPr>
        <w:t xml:space="preserve"> </w:t>
      </w:r>
      <w:r w:rsidRPr="00653501">
        <w:rPr>
          <w:rFonts w:ascii="Arial" w:hAnsi="Arial" w:cs="Arial"/>
          <w:sz w:val="24"/>
          <w:szCs w:val="24"/>
        </w:rPr>
        <w:t>BSA. 6</w:t>
      </w:r>
      <w:r w:rsidRPr="004E320E">
        <w:rPr>
          <w:rFonts w:ascii="Arial" w:hAnsi="Arial" w:cs="Arial" w:hint="default"/>
          <w:color w:val="FF0000"/>
          <w:sz w:val="24"/>
          <w:szCs w:val="24"/>
        </w:rPr>
        <w:t>×</w:t>
      </w:r>
      <w:r w:rsidRPr="00653501">
        <w:rPr>
          <w:rFonts w:ascii="Arial" w:hAnsi="Arial" w:cs="Arial"/>
          <w:sz w:val="24"/>
          <w:szCs w:val="24"/>
        </w:rPr>
        <w:t xml:space="preserve">His tag </w:t>
      </w:r>
      <w:proofErr w:type="spellStart"/>
      <w:r w:rsidRPr="00653501">
        <w:rPr>
          <w:rFonts w:ascii="Arial" w:hAnsi="Arial" w:cs="Arial"/>
          <w:sz w:val="24"/>
          <w:szCs w:val="24"/>
        </w:rPr>
        <w:t>mAb</w:t>
      </w:r>
      <w:proofErr w:type="spellEnd"/>
      <w:r w:rsidRPr="00653501">
        <w:rPr>
          <w:rFonts w:ascii="Arial" w:hAnsi="Arial" w:cs="Arial"/>
          <w:sz w:val="24"/>
          <w:szCs w:val="24"/>
        </w:rPr>
        <w:t xml:space="preserve"> (MBL, Japan) and Alexa Fluor 555 conjugated goat ant</w:t>
      </w:r>
      <w:r w:rsidRPr="00653501">
        <w:rPr>
          <w:rFonts w:ascii="Arial" w:hAnsi="Arial" w:cs="Arial"/>
          <w:color w:val="000000"/>
          <w:sz w:val="24"/>
          <w:szCs w:val="24"/>
        </w:rPr>
        <w:t xml:space="preserve">i-mouse IgG antibody </w:t>
      </w:r>
      <w:r w:rsidRPr="00653501">
        <w:rPr>
          <w:rFonts w:ascii="Arial" w:hAnsi="Arial" w:cs="Arial"/>
          <w:sz w:val="24"/>
          <w:szCs w:val="24"/>
        </w:rPr>
        <w:t>(</w:t>
      </w:r>
      <w:proofErr w:type="spellStart"/>
      <w:r w:rsidRPr="00653501">
        <w:rPr>
          <w:rFonts w:ascii="Arial" w:hAnsi="Arial" w:cs="Arial"/>
          <w:sz w:val="24"/>
          <w:szCs w:val="24"/>
        </w:rPr>
        <w:t>Thermo</w:t>
      </w:r>
      <w:proofErr w:type="spellEnd"/>
      <w:r w:rsidRPr="00653501">
        <w:rPr>
          <w:rFonts w:ascii="Arial" w:hAnsi="Arial" w:cs="Arial"/>
          <w:sz w:val="24"/>
          <w:szCs w:val="24"/>
        </w:rPr>
        <w:t xml:space="preserve"> Fisher, USA) were used to stain intracellular antigens</w:t>
      </w:r>
      <w:r w:rsidRPr="00653501">
        <w:rPr>
          <w:rFonts w:ascii="Arial" w:hAnsi="Arial" w:cs="Arial"/>
        </w:rPr>
        <w:t>,</w:t>
      </w:r>
      <w:r w:rsidRPr="00653501">
        <w:rPr>
          <w:rFonts w:ascii="Arial" w:hAnsi="Arial" w:cs="Arial"/>
          <w:sz w:val="24"/>
          <w:szCs w:val="24"/>
        </w:rPr>
        <w:t xml:space="preserve"> and 4</w:t>
      </w:r>
      <w:r w:rsidRPr="000D53B8">
        <w:rPr>
          <w:rFonts w:ascii="Arial" w:hAnsi="Arial" w:cs="Arial"/>
          <w:sz w:val="24"/>
          <w:szCs w:val="24"/>
        </w:rPr>
        <w:t>′</w:t>
      </w:r>
      <w:r w:rsidRPr="00653501">
        <w:rPr>
          <w:rFonts w:ascii="Arial" w:hAnsi="Arial" w:cs="Arial"/>
          <w:sz w:val="24"/>
          <w:szCs w:val="24"/>
        </w:rPr>
        <w:t xml:space="preserve">,6-Diamidino-2-phenylindole (DAPI) was used to stain the cell nuclei for 20 </w:t>
      </w:r>
      <w:r w:rsidRPr="00E33B4C">
        <w:rPr>
          <w:rFonts w:ascii="Arial" w:hAnsi="Arial" w:cs="Arial"/>
          <w:sz w:val="24"/>
          <w:szCs w:val="24"/>
        </w:rPr>
        <w:lastRenderedPageBreak/>
        <w:t>minutes</w:t>
      </w:r>
      <w:r w:rsidRPr="00653501">
        <w:rPr>
          <w:rFonts w:ascii="Arial" w:hAnsi="Arial" w:cs="Arial"/>
          <w:sz w:val="24"/>
          <w:szCs w:val="24"/>
        </w:rPr>
        <w:t xml:space="preserve">. Images were recorded using a ZEISS </w:t>
      </w:r>
      <w:proofErr w:type="spellStart"/>
      <w:r w:rsidRPr="00653501">
        <w:rPr>
          <w:rFonts w:ascii="Arial" w:hAnsi="Arial" w:cs="Arial"/>
          <w:sz w:val="24"/>
          <w:szCs w:val="24"/>
        </w:rPr>
        <w:t>Axio</w:t>
      </w:r>
      <w:proofErr w:type="spellEnd"/>
      <w:r w:rsidRPr="00653501">
        <w:rPr>
          <w:rFonts w:ascii="Arial" w:hAnsi="Arial" w:cs="Arial"/>
          <w:sz w:val="24"/>
          <w:szCs w:val="24"/>
        </w:rPr>
        <w:t xml:space="preserve"> Scope microscope. At the same time, the supernatants were collected to further detect DCs </w:t>
      </w:r>
      <w:r w:rsidRPr="0013239E">
        <w:rPr>
          <w:rFonts w:ascii="Arial" w:hAnsi="Arial" w:cs="Arial"/>
          <w:sz w:val="24"/>
          <w:szCs w:val="24"/>
        </w:rPr>
        <w:t>cytokine</w:t>
      </w:r>
      <w:r w:rsidRPr="00653501">
        <w:rPr>
          <w:rFonts w:ascii="Arial" w:hAnsi="Arial" w:cs="Arial"/>
          <w:sz w:val="24"/>
          <w:szCs w:val="24"/>
        </w:rPr>
        <w:t xml:space="preserve"> secretion after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79B8" w:rsidRPr="004E320E">
        <w:rPr>
          <w:rFonts w:ascii="Arial" w:hAnsi="Arial" w:cs="Arial"/>
          <w:color w:val="000000" w:themeColor="text1"/>
          <w:sz w:val="24"/>
          <w:szCs w:val="24"/>
        </w:rPr>
        <w:t>treat</w:t>
      </w:r>
      <w:r w:rsidR="00EF79B8" w:rsidRPr="004E320E">
        <w:rPr>
          <w:rFonts w:ascii="Arial" w:hAnsi="Arial" w:cs="Arial" w:hint="default"/>
          <w:color w:val="000000" w:themeColor="text1"/>
          <w:sz w:val="24"/>
          <w:szCs w:val="24"/>
        </w:rPr>
        <w:t>ment</w:t>
      </w:r>
      <w:r w:rsidR="00EF79B8" w:rsidRPr="004E320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with PBS, LPS, LS, </w:t>
      </w:r>
      <w:r w:rsidR="001D2041" w:rsidRPr="004E320E">
        <w:rPr>
          <w:rFonts w:ascii="Arial" w:hAnsi="Arial" w:cs="Arial"/>
          <w:color w:val="000000" w:themeColor="text1"/>
          <w:sz w:val="24"/>
          <w:szCs w:val="24"/>
        </w:rPr>
        <w:t xml:space="preserve">ED </w:t>
      </w:r>
      <w:proofErr w:type="gramStart"/>
      <w:r w:rsidR="001D2041" w:rsidRPr="004E320E">
        <w:rPr>
          <w:rFonts w:ascii="Arial" w:hAnsi="Arial" w:cs="Arial"/>
          <w:color w:val="000000" w:themeColor="text1"/>
          <w:sz w:val="24"/>
          <w:szCs w:val="24"/>
        </w:rPr>
        <w:t>III</w:t>
      </w:r>
      <w:proofErr w:type="gramEnd"/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or </w:t>
      </w:r>
      <w:r w:rsidR="001D2041" w:rsidRPr="004E320E">
        <w:rPr>
          <w:rFonts w:ascii="Arial" w:hAnsi="Arial" w:cs="Arial"/>
          <w:color w:val="000000" w:themeColor="text1"/>
          <w:sz w:val="24"/>
          <w:szCs w:val="24"/>
        </w:rPr>
        <w:t>ED III-LS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for 24 h</w:t>
      </w:r>
      <w:r w:rsidRPr="00653501">
        <w:rPr>
          <w:rFonts w:ascii="Arial" w:hAnsi="Arial" w:cs="Arial"/>
          <w:sz w:val="24"/>
          <w:szCs w:val="24"/>
        </w:rPr>
        <w:t>, TN</w:t>
      </w:r>
      <w:r w:rsidRPr="0024366F">
        <w:rPr>
          <w:rFonts w:ascii="Arial" w:hAnsi="Arial" w:cs="Arial" w:hint="default"/>
          <w:sz w:val="24"/>
          <w:szCs w:val="24"/>
        </w:rPr>
        <w:t>Fα,</w:t>
      </w:r>
      <w:r w:rsidRPr="00653501">
        <w:rPr>
          <w:rFonts w:ascii="Arial" w:hAnsi="Arial" w:cs="Arial"/>
          <w:sz w:val="24"/>
          <w:szCs w:val="24"/>
        </w:rPr>
        <w:t xml:space="preserve"> IL1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>2</w:t>
      </w:r>
      <w:r w:rsidR="00EF79B8" w:rsidRPr="004E320E">
        <w:rPr>
          <w:rFonts w:ascii="Arial" w:hAnsi="Arial" w:cs="Arial" w:hint="default"/>
          <w:color w:val="000000" w:themeColor="text1"/>
          <w:sz w:val="24"/>
          <w:szCs w:val="24"/>
        </w:rPr>
        <w:t>,</w:t>
      </w:r>
      <w:r w:rsidRPr="004E320E">
        <w:rPr>
          <w:rFonts w:ascii="Arial" w:hAnsi="Arial" w:cs="Arial"/>
          <w:color w:val="000000" w:themeColor="text1"/>
          <w:sz w:val="24"/>
          <w:szCs w:val="24"/>
        </w:rPr>
        <w:t xml:space="preserve"> and IFN-</w:t>
      </w:r>
      <w:r w:rsidRPr="004E320E">
        <w:rPr>
          <w:rFonts w:ascii="Arial" w:hAnsi="Arial" w:cs="Arial" w:hint="default"/>
          <w:color w:val="000000" w:themeColor="text1"/>
          <w:sz w:val="24"/>
          <w:szCs w:val="24"/>
        </w:rPr>
        <w:t>γ</w:t>
      </w:r>
      <w:r w:rsidRPr="00653501">
        <w:rPr>
          <w:rFonts w:ascii="Arial" w:hAnsi="Arial" w:cs="Arial"/>
          <w:sz w:val="24"/>
          <w:szCs w:val="24"/>
        </w:rPr>
        <w:t xml:space="preserve"> commercial kits (</w:t>
      </w:r>
      <w:proofErr w:type="spellStart"/>
      <w:r w:rsidRPr="00653501">
        <w:rPr>
          <w:rFonts w:ascii="Arial" w:hAnsi="Arial" w:cs="Arial"/>
          <w:sz w:val="24"/>
          <w:szCs w:val="24"/>
        </w:rPr>
        <w:t>NeoBioscience</w:t>
      </w:r>
      <w:proofErr w:type="spellEnd"/>
      <w:r w:rsidRPr="00653501">
        <w:rPr>
          <w:rFonts w:ascii="Arial" w:hAnsi="Arial" w:cs="Arial"/>
          <w:sz w:val="24"/>
          <w:szCs w:val="24"/>
        </w:rPr>
        <w:t>, Shenzhen, China) were used according to the manufacturer</w:t>
      </w:r>
      <w:r>
        <w:rPr>
          <w:rFonts w:ascii="Arial" w:hAnsi="Arial" w:cs="Arial" w:hint="default"/>
          <w:sz w:val="24"/>
          <w:szCs w:val="24"/>
        </w:rPr>
        <w:t>’</w:t>
      </w:r>
      <w:r w:rsidRPr="00653501">
        <w:rPr>
          <w:rFonts w:ascii="Arial" w:hAnsi="Arial" w:cs="Arial"/>
          <w:sz w:val="24"/>
          <w:szCs w:val="24"/>
        </w:rPr>
        <w:t>s protocol.</w:t>
      </w:r>
    </w:p>
    <w:p w14:paraId="7E98BC30" w14:textId="77777777" w:rsidR="00F32B78" w:rsidRPr="005B4C95" w:rsidRDefault="00F32B78" w:rsidP="004D6D65">
      <w:pPr>
        <w:spacing w:beforeLines="50" w:before="156" w:afterLines="50" w:after="156" w:line="480" w:lineRule="auto"/>
        <w:rPr>
          <w:rFonts w:ascii="Arial" w:hAnsi="Arial" w:cs="Arial" w:hint="default"/>
          <w:b/>
          <w:bCs/>
          <w:sz w:val="24"/>
          <w:szCs w:val="24"/>
        </w:rPr>
      </w:pPr>
      <w:r w:rsidRPr="005B4C95">
        <w:rPr>
          <w:rFonts w:ascii="Arial" w:hAnsi="Arial" w:cs="Arial" w:hint="default"/>
          <w:b/>
          <w:bCs/>
          <w:sz w:val="24"/>
          <w:szCs w:val="24"/>
        </w:rPr>
        <w:t>Autologous mixed leukocyte reaction</w:t>
      </w:r>
      <w:bookmarkEnd w:id="0"/>
      <w:r w:rsidRPr="005B4C95">
        <w:rPr>
          <w:rFonts w:ascii="Arial" w:hAnsi="Arial" w:cs="Arial" w:hint="default"/>
          <w:b/>
          <w:bCs/>
          <w:sz w:val="24"/>
          <w:szCs w:val="24"/>
        </w:rPr>
        <w:t xml:space="preserve"> (MLR)</w:t>
      </w:r>
    </w:p>
    <w:p w14:paraId="44787D57" w14:textId="6ED90330" w:rsidR="00F32B78" w:rsidRPr="00653501" w:rsidRDefault="00F32B78" w:rsidP="004D6D65">
      <w:pPr>
        <w:spacing w:beforeLines="50" w:before="156" w:afterLines="50" w:after="156" w:line="480" w:lineRule="auto"/>
        <w:ind w:firstLineChars="200" w:firstLine="480"/>
        <w:rPr>
          <w:rFonts w:ascii="Arial" w:hAnsi="Arial" w:cs="Arial" w:hint="default"/>
          <w:sz w:val="24"/>
          <w:szCs w:val="24"/>
        </w:rPr>
      </w:pPr>
      <w:r w:rsidRPr="00653501">
        <w:rPr>
          <w:rFonts w:ascii="Arial" w:hAnsi="Arial" w:cs="Arial" w:hint="default"/>
          <w:sz w:val="24"/>
          <w:szCs w:val="24"/>
        </w:rPr>
        <w:t>To detect the allogeneic stimulatory activities of different</w:t>
      </w:r>
      <w:r w:rsidRPr="004E320E">
        <w:rPr>
          <w:rFonts w:ascii="Arial" w:hAnsi="Arial" w:cs="Arial" w:hint="default"/>
          <w:color w:val="000000" w:themeColor="text1"/>
          <w:sz w:val="24"/>
          <w:szCs w:val="24"/>
        </w:rPr>
        <w:t xml:space="preserve"> </w:t>
      </w:r>
      <w:r w:rsidR="00EF79B8" w:rsidRPr="006F508A">
        <w:rPr>
          <w:rFonts w:ascii="Arial" w:hAnsi="Arial" w:cs="Arial" w:hint="default"/>
          <w:color w:val="000000" w:themeColor="text1"/>
          <w:sz w:val="24"/>
          <w:szCs w:val="24"/>
        </w:rPr>
        <w:t>antigen</w:t>
      </w:r>
      <w:r w:rsidR="00EF79B8" w:rsidRPr="004E320E">
        <w:rPr>
          <w:rFonts w:ascii="Arial" w:hAnsi="Arial" w:cs="Arial" w:hint="default"/>
          <w:color w:val="000000" w:themeColor="text1"/>
          <w:sz w:val="24"/>
          <w:szCs w:val="24"/>
        </w:rPr>
        <w:t>-</w:t>
      </w:r>
      <w:r w:rsidRPr="004E320E">
        <w:rPr>
          <w:rFonts w:ascii="Arial" w:hAnsi="Arial" w:cs="Arial" w:hint="default"/>
          <w:color w:val="000000" w:themeColor="text1"/>
          <w:sz w:val="24"/>
          <w:szCs w:val="24"/>
        </w:rPr>
        <w:t xml:space="preserve">treated </w:t>
      </w:r>
      <w:r w:rsidRPr="00653501">
        <w:rPr>
          <w:rFonts w:ascii="Arial" w:hAnsi="Arial" w:cs="Arial" w:hint="default"/>
          <w:sz w:val="24"/>
          <w:szCs w:val="24"/>
        </w:rPr>
        <w:t>DCs, naïve CD4</w:t>
      </w:r>
      <w:r w:rsidRPr="00653501">
        <w:rPr>
          <w:rFonts w:ascii="Arial" w:hAnsi="Arial" w:cs="Arial" w:hint="default"/>
          <w:sz w:val="24"/>
          <w:szCs w:val="24"/>
          <w:vertAlign w:val="superscript"/>
        </w:rPr>
        <w:t>+</w:t>
      </w:r>
      <w:r w:rsidRPr="00653501">
        <w:rPr>
          <w:rFonts w:ascii="Arial" w:hAnsi="Arial" w:cs="Arial" w:hint="default"/>
          <w:sz w:val="24"/>
          <w:szCs w:val="24"/>
        </w:rPr>
        <w:t xml:space="preserve"> T cells were isolated from the spleens of BALB/c mice with magnetic beads according to the manufacturer’s protocol (</w:t>
      </w:r>
      <w:proofErr w:type="spellStart"/>
      <w:r w:rsidRPr="00653501">
        <w:rPr>
          <w:rFonts w:ascii="Arial" w:hAnsi="Arial" w:cs="Arial" w:hint="default"/>
          <w:sz w:val="24"/>
          <w:szCs w:val="24"/>
        </w:rPr>
        <w:t>Thermo</w:t>
      </w:r>
      <w:proofErr w:type="spellEnd"/>
      <w:r w:rsidRPr="00653501">
        <w:rPr>
          <w:rFonts w:ascii="Arial" w:hAnsi="Arial" w:cs="Arial" w:hint="default"/>
          <w:sz w:val="24"/>
          <w:szCs w:val="24"/>
        </w:rPr>
        <w:t xml:space="preserve"> Fisher, </w:t>
      </w:r>
      <w:proofErr w:type="gramStart"/>
      <w:r w:rsidRPr="00653501">
        <w:rPr>
          <w:rFonts w:ascii="Arial" w:hAnsi="Arial" w:cs="Arial" w:hint="default"/>
          <w:sz w:val="24"/>
          <w:szCs w:val="24"/>
        </w:rPr>
        <w:t>USA)</w:t>
      </w:r>
      <w:r>
        <w:rPr>
          <w:rFonts w:ascii="Arial" w:hAnsi="Arial" w:cs="Arial"/>
          <w:sz w:val="24"/>
          <w:szCs w:val="24"/>
        </w:rPr>
        <w:t>，</w:t>
      </w:r>
      <w:proofErr w:type="gramEnd"/>
      <w:r w:rsidR="00EF79B8">
        <w:rPr>
          <w:rFonts w:ascii="Arial" w:hAnsi="Arial" w:cs="Arial" w:hint="default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 w:hint="default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 w:rsidRPr="00A415E5">
        <w:rPr>
          <w:rFonts w:ascii="Arial" w:hAnsi="Arial" w:cs="Arial" w:hint="default"/>
          <w:sz w:val="24"/>
          <w:szCs w:val="24"/>
        </w:rPr>
        <w:t>utologous mixed leukocyte reaction (MLR)</w:t>
      </w:r>
      <w:r w:rsidRPr="00653501">
        <w:rPr>
          <w:rFonts w:ascii="Arial" w:hAnsi="Arial" w:cs="Arial" w:hint="default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was</w:t>
      </w:r>
      <w:r>
        <w:rPr>
          <w:rFonts w:ascii="Arial" w:hAnsi="Arial" w:cs="Arial" w:hint="default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performed</w:t>
      </w:r>
      <w:r>
        <w:rPr>
          <w:rFonts w:ascii="Arial" w:hAnsi="Arial" w:cs="Arial" w:hint="default"/>
          <w:sz w:val="24"/>
          <w:szCs w:val="24"/>
        </w:rPr>
        <w:t xml:space="preserve"> </w:t>
      </w:r>
      <w:r w:rsidRPr="00653501">
        <w:rPr>
          <w:rFonts w:ascii="Arial" w:hAnsi="Arial" w:cs="Arial"/>
          <w:sz w:val="24"/>
          <w:szCs w:val="24"/>
        </w:rPr>
        <w:t>as previously describe</w:t>
      </w:r>
      <w:r>
        <w:rPr>
          <w:rFonts w:ascii="Arial" w:hAnsi="Arial" w:cs="Arial" w:hint="default"/>
          <w:sz w:val="24"/>
          <w:szCs w:val="24"/>
        </w:rPr>
        <w:t xml:space="preserve">d </w:t>
      </w:r>
      <w:r>
        <w:rPr>
          <w:rFonts w:ascii="Arial" w:hAnsi="Arial" w:cs="Arial" w:hint="default"/>
          <w:noProof/>
          <w:sz w:val="24"/>
          <w:szCs w:val="24"/>
        </w:rPr>
        <w:t>[1]</w:t>
      </w:r>
      <w:r>
        <w:rPr>
          <w:rFonts w:ascii="Arial" w:hAnsi="Arial" w:cs="Arial" w:hint="default"/>
          <w:sz w:val="24"/>
          <w:szCs w:val="24"/>
        </w:rPr>
        <w:t>. B</w:t>
      </w:r>
      <w:r>
        <w:rPr>
          <w:rFonts w:ascii="Arial" w:hAnsi="Arial" w:cs="Arial"/>
          <w:sz w:val="24"/>
          <w:szCs w:val="24"/>
        </w:rPr>
        <w:t>riefly</w:t>
      </w:r>
      <w:r>
        <w:rPr>
          <w:rFonts w:ascii="Arial" w:hAnsi="Arial" w:cs="Arial" w:hint="default"/>
          <w:sz w:val="24"/>
          <w:szCs w:val="24"/>
        </w:rPr>
        <w:t xml:space="preserve">, </w:t>
      </w:r>
      <w:r w:rsidRPr="00653501">
        <w:rPr>
          <w:rFonts w:ascii="Arial" w:hAnsi="Arial" w:cs="Arial" w:hint="default"/>
          <w:sz w:val="24"/>
          <w:szCs w:val="24"/>
        </w:rPr>
        <w:t>BMDCs were treated with PBS, LPS, LS</w:t>
      </w:r>
      <w:r w:rsidRPr="004E320E">
        <w:rPr>
          <w:rFonts w:ascii="Arial" w:hAnsi="Arial" w:cs="Arial" w:hint="default"/>
          <w:color w:val="000000" w:themeColor="text1"/>
          <w:sz w:val="24"/>
          <w:szCs w:val="24"/>
        </w:rPr>
        <w:t xml:space="preserve">, </w:t>
      </w:r>
      <w:r w:rsidR="001D2041" w:rsidRPr="004E320E">
        <w:rPr>
          <w:rFonts w:ascii="Arial" w:hAnsi="Arial" w:cs="Arial" w:hint="default"/>
          <w:color w:val="000000" w:themeColor="text1"/>
          <w:sz w:val="24"/>
          <w:szCs w:val="24"/>
        </w:rPr>
        <w:t>ED III</w:t>
      </w:r>
      <w:r w:rsidR="00EF79B8" w:rsidRPr="004E320E">
        <w:rPr>
          <w:rFonts w:ascii="Arial" w:hAnsi="Arial" w:cs="Arial" w:hint="default"/>
          <w:color w:val="000000" w:themeColor="text1"/>
          <w:sz w:val="24"/>
          <w:szCs w:val="24"/>
        </w:rPr>
        <w:t>,</w:t>
      </w:r>
      <w:r w:rsidRPr="004E320E">
        <w:rPr>
          <w:rFonts w:ascii="Arial" w:hAnsi="Arial" w:cs="Arial" w:hint="default"/>
          <w:color w:val="000000" w:themeColor="text1"/>
          <w:sz w:val="24"/>
          <w:szCs w:val="24"/>
        </w:rPr>
        <w:t xml:space="preserve"> or </w:t>
      </w:r>
      <w:r w:rsidR="001D2041" w:rsidRPr="004E320E">
        <w:rPr>
          <w:rFonts w:ascii="Arial" w:hAnsi="Arial" w:cs="Arial" w:hint="default"/>
          <w:color w:val="000000" w:themeColor="text1"/>
          <w:sz w:val="24"/>
          <w:szCs w:val="24"/>
        </w:rPr>
        <w:t>ED III-LS</w:t>
      </w:r>
      <w:r w:rsidRPr="00653501">
        <w:rPr>
          <w:rFonts w:ascii="Arial" w:hAnsi="Arial" w:cs="Arial" w:hint="default"/>
          <w:sz w:val="24"/>
          <w:szCs w:val="24"/>
        </w:rPr>
        <w:t xml:space="preserve"> for 24 h at 37°C with 5% CO</w:t>
      </w:r>
      <w:r w:rsidRPr="00653501">
        <w:rPr>
          <w:rFonts w:ascii="Arial" w:hAnsi="Arial" w:cs="Arial" w:hint="default"/>
          <w:sz w:val="24"/>
          <w:szCs w:val="24"/>
          <w:vertAlign w:val="subscript"/>
        </w:rPr>
        <w:t>2</w:t>
      </w:r>
      <w:r w:rsidRPr="00653501">
        <w:rPr>
          <w:rFonts w:ascii="Arial" w:hAnsi="Arial" w:cs="Arial" w:hint="default"/>
          <w:sz w:val="24"/>
          <w:szCs w:val="24"/>
        </w:rPr>
        <w:t>, then co-cultured with naïve CD4</w:t>
      </w:r>
      <w:r w:rsidRPr="00653501">
        <w:rPr>
          <w:rFonts w:ascii="Arial" w:hAnsi="Arial" w:cs="Arial" w:hint="default"/>
          <w:sz w:val="24"/>
          <w:szCs w:val="24"/>
          <w:vertAlign w:val="superscript"/>
        </w:rPr>
        <w:t>+</w:t>
      </w:r>
      <w:r w:rsidRPr="00653501">
        <w:rPr>
          <w:rFonts w:ascii="Arial" w:hAnsi="Arial" w:cs="Arial" w:hint="default"/>
          <w:sz w:val="24"/>
          <w:szCs w:val="24"/>
        </w:rPr>
        <w:t xml:space="preserve"> T cells at a ratio of 1:10 in 96-well plate for 72 h. After that, 10 </w:t>
      </w:r>
      <w:proofErr w:type="spellStart"/>
      <w:r w:rsidRPr="00653501">
        <w:rPr>
          <w:rFonts w:ascii="Arial" w:hAnsi="Arial" w:cs="Arial" w:hint="default"/>
          <w:sz w:val="24"/>
          <w:szCs w:val="24"/>
        </w:rPr>
        <w:t>μL</w:t>
      </w:r>
      <w:proofErr w:type="spellEnd"/>
      <w:r w:rsidRPr="00653501">
        <w:rPr>
          <w:rFonts w:ascii="Arial" w:hAnsi="Arial" w:cs="Arial" w:hint="default"/>
          <w:sz w:val="24"/>
          <w:szCs w:val="24"/>
        </w:rPr>
        <w:t xml:space="preserve"> of CCK-8 reagent was added to each well and incubated for another 4 h at 37°C, The OD values of each well </w:t>
      </w:r>
      <w:r w:rsidR="00EF79B8" w:rsidRPr="004E320E">
        <w:rPr>
          <w:rFonts w:ascii="Arial" w:hAnsi="Arial" w:cs="Arial" w:hint="default"/>
          <w:color w:val="000000" w:themeColor="text1"/>
          <w:sz w:val="24"/>
          <w:szCs w:val="24"/>
        </w:rPr>
        <w:t>were</w:t>
      </w:r>
      <w:r w:rsidR="00EF79B8" w:rsidRPr="00653501">
        <w:rPr>
          <w:rFonts w:ascii="Arial" w:hAnsi="Arial" w:cs="Arial" w:hint="default"/>
          <w:sz w:val="24"/>
          <w:szCs w:val="24"/>
        </w:rPr>
        <w:t xml:space="preserve"> </w:t>
      </w:r>
      <w:r w:rsidRPr="00653501">
        <w:rPr>
          <w:rFonts w:ascii="Arial" w:hAnsi="Arial" w:cs="Arial" w:hint="default"/>
          <w:sz w:val="24"/>
          <w:szCs w:val="24"/>
        </w:rPr>
        <w:t>measured at 450 nm to quantify T-cell activation. The stimulation index (SI) was calculated with the following equation: SI = (OD sample well / OD blank well) - (OD CD4</w:t>
      </w:r>
      <w:r w:rsidRPr="00653501">
        <w:rPr>
          <w:rFonts w:ascii="Arial" w:hAnsi="Arial" w:cs="Arial" w:hint="default"/>
          <w:sz w:val="24"/>
          <w:szCs w:val="24"/>
          <w:vertAlign w:val="superscript"/>
        </w:rPr>
        <w:t xml:space="preserve">+ </w:t>
      </w:r>
      <w:r w:rsidRPr="00653501">
        <w:rPr>
          <w:rFonts w:ascii="Arial" w:hAnsi="Arial" w:cs="Arial" w:hint="default"/>
          <w:sz w:val="24"/>
          <w:szCs w:val="24"/>
        </w:rPr>
        <w:t>T cell well/OD blank well).</w:t>
      </w:r>
    </w:p>
    <w:p w14:paraId="5D6D4ED7" w14:textId="77777777" w:rsidR="00F32B78" w:rsidRPr="005B4C95" w:rsidRDefault="00F32B78" w:rsidP="004D6D65">
      <w:pPr>
        <w:spacing w:beforeLines="50" w:before="156" w:afterLines="50" w:after="156" w:line="480" w:lineRule="auto"/>
        <w:rPr>
          <w:rFonts w:ascii="Arial" w:hAnsi="Arial" w:cs="Arial" w:hint="default"/>
          <w:b/>
          <w:bCs/>
          <w:sz w:val="24"/>
          <w:szCs w:val="24"/>
        </w:rPr>
      </w:pPr>
      <w:r w:rsidRPr="005B4C95">
        <w:rPr>
          <w:rFonts w:ascii="Arial" w:hAnsi="Arial" w:cs="Arial" w:hint="default"/>
          <w:b/>
          <w:bCs/>
          <w:sz w:val="24"/>
          <w:szCs w:val="24"/>
        </w:rPr>
        <w:t xml:space="preserve">Histopathology and </w:t>
      </w:r>
      <w:bookmarkStart w:id="1" w:name="_Hlk110866453"/>
      <w:r w:rsidRPr="005B4C95">
        <w:rPr>
          <w:rFonts w:ascii="Arial" w:hAnsi="Arial" w:cs="Arial" w:hint="default"/>
          <w:b/>
          <w:bCs/>
          <w:sz w:val="24"/>
          <w:szCs w:val="24"/>
        </w:rPr>
        <w:t>immunohistochemistry</w:t>
      </w:r>
      <w:bookmarkEnd w:id="1"/>
    </w:p>
    <w:p w14:paraId="74F9180E" w14:textId="4D1090D5" w:rsidR="0066271F" w:rsidRDefault="00F32B78" w:rsidP="00C663C4">
      <w:pPr>
        <w:spacing w:line="480" w:lineRule="auto"/>
        <w:ind w:firstLineChars="200" w:firstLine="480"/>
        <w:rPr>
          <w:rFonts w:ascii="Arial" w:hAnsi="Arial" w:cs="Arial" w:hint="default"/>
          <w:b/>
          <w:sz w:val="24"/>
          <w:szCs w:val="24"/>
          <w:highlight w:val="white"/>
        </w:rPr>
      </w:pPr>
      <w:r w:rsidRPr="00653501">
        <w:rPr>
          <w:rFonts w:ascii="Arial" w:hAnsi="Arial" w:cs="Arial" w:hint="default"/>
          <w:sz w:val="24"/>
          <w:szCs w:val="24"/>
        </w:rPr>
        <w:t xml:space="preserve">The brain tissues collected at 6 </w:t>
      </w:r>
      <w:r w:rsidR="00ED6913">
        <w:rPr>
          <w:rFonts w:ascii="Arial" w:hAnsi="Arial" w:cs="Arial"/>
          <w:sz w:val="24"/>
          <w:szCs w:val="24"/>
        </w:rPr>
        <w:t>days</w:t>
      </w:r>
      <w:r w:rsidR="00ED6913">
        <w:rPr>
          <w:rFonts w:ascii="Arial" w:hAnsi="Arial" w:cs="Arial" w:hint="default"/>
          <w:sz w:val="24"/>
          <w:szCs w:val="24"/>
        </w:rPr>
        <w:t xml:space="preserve"> </w:t>
      </w:r>
      <w:r w:rsidR="00ED6913">
        <w:rPr>
          <w:rFonts w:ascii="Arial" w:hAnsi="Arial" w:cs="Arial"/>
          <w:sz w:val="24"/>
          <w:szCs w:val="24"/>
        </w:rPr>
        <w:t>post-challenge</w:t>
      </w:r>
      <w:r w:rsidR="00ED6913">
        <w:rPr>
          <w:rFonts w:ascii="Arial" w:hAnsi="Arial" w:cs="Arial" w:hint="default"/>
          <w:sz w:val="24"/>
          <w:szCs w:val="24"/>
        </w:rPr>
        <w:t xml:space="preserve"> (</w:t>
      </w:r>
      <w:proofErr w:type="spellStart"/>
      <w:r w:rsidRPr="00653501">
        <w:rPr>
          <w:rFonts w:ascii="Arial" w:hAnsi="Arial" w:cs="Arial" w:hint="default"/>
          <w:sz w:val="24"/>
          <w:szCs w:val="24"/>
        </w:rPr>
        <w:t>dpc</w:t>
      </w:r>
      <w:proofErr w:type="spellEnd"/>
      <w:r w:rsidR="00ED6913">
        <w:rPr>
          <w:rFonts w:ascii="Arial" w:hAnsi="Arial" w:cs="Arial" w:hint="default"/>
          <w:sz w:val="24"/>
          <w:szCs w:val="24"/>
        </w:rPr>
        <w:t>)</w:t>
      </w:r>
      <w:r w:rsidRPr="00653501">
        <w:rPr>
          <w:rFonts w:ascii="Arial" w:hAnsi="Arial" w:cs="Arial" w:hint="default"/>
          <w:sz w:val="24"/>
          <w:szCs w:val="24"/>
        </w:rPr>
        <w:t xml:space="preserve"> were fixed in 10% neutral-buffered formalin and embedded in paraffin, then cut into 4-μm thick slices. After deparaffinization and </w:t>
      </w:r>
      <w:hyperlink r:id="rId6" w:tooltip="Learn more about rehydration from ScienceDirect's AI-generated Topic Pages" w:history="1">
        <w:r w:rsidRPr="00653501">
          <w:rPr>
            <w:rFonts w:ascii="Arial" w:hAnsi="Arial" w:cs="Arial" w:hint="default"/>
            <w:sz w:val="24"/>
            <w:szCs w:val="24"/>
          </w:rPr>
          <w:t>rehydration</w:t>
        </w:r>
      </w:hyperlink>
      <w:r w:rsidRPr="00653501">
        <w:rPr>
          <w:rFonts w:ascii="Arial" w:hAnsi="Arial" w:cs="Arial" w:hint="default"/>
          <w:sz w:val="24"/>
          <w:szCs w:val="24"/>
        </w:rPr>
        <w:t xml:space="preserve">, the slices were stained with </w:t>
      </w:r>
      <w:hyperlink r:id="rId7" w:tooltip="Learn more about hematoxylin from ScienceDirect's AI-generated Topic Pages" w:history="1">
        <w:r w:rsidRPr="00653501">
          <w:rPr>
            <w:rFonts w:ascii="Arial" w:hAnsi="Arial" w:cs="Arial" w:hint="default"/>
            <w:sz w:val="24"/>
            <w:szCs w:val="24"/>
          </w:rPr>
          <w:t>hematoxylin</w:t>
        </w:r>
      </w:hyperlink>
      <w:r w:rsidRPr="00653501">
        <w:rPr>
          <w:rFonts w:ascii="Arial" w:hAnsi="Arial" w:cs="Arial" w:hint="default"/>
          <w:sz w:val="24"/>
          <w:szCs w:val="24"/>
        </w:rPr>
        <w:t xml:space="preserve"> and </w:t>
      </w:r>
      <w:hyperlink r:id="rId8" w:tooltip="Learn more about eosin from ScienceDirect's AI-generated Topic Pages" w:history="1">
        <w:r w:rsidRPr="00653501">
          <w:rPr>
            <w:rFonts w:ascii="Arial" w:hAnsi="Arial" w:cs="Arial" w:hint="default"/>
            <w:sz w:val="24"/>
            <w:szCs w:val="24"/>
          </w:rPr>
          <w:t>eosin</w:t>
        </w:r>
      </w:hyperlink>
      <w:r w:rsidRPr="00653501">
        <w:rPr>
          <w:rFonts w:ascii="Arial" w:hAnsi="Arial" w:cs="Arial" w:hint="default"/>
          <w:sz w:val="24"/>
          <w:szCs w:val="24"/>
        </w:rPr>
        <w:t xml:space="preserve"> (HE). For immunohistochemistry detection, sections were incubated with JE</w:t>
      </w:r>
      <w:r w:rsidRPr="00CB1821">
        <w:rPr>
          <w:rFonts w:ascii="Arial" w:hAnsi="Arial" w:cs="Arial" w:hint="default"/>
          <w:sz w:val="24"/>
          <w:szCs w:val="24"/>
        </w:rPr>
        <w:t xml:space="preserve">V-NS3-specific </w:t>
      </w:r>
      <w:proofErr w:type="spellStart"/>
      <w:r w:rsidR="006F508A" w:rsidRPr="00CB1821">
        <w:rPr>
          <w:rFonts w:ascii="Arial" w:hAnsi="Arial" w:cs="Arial"/>
          <w:sz w:val="24"/>
          <w:szCs w:val="24"/>
        </w:rPr>
        <w:t>m</w:t>
      </w:r>
      <w:r w:rsidRPr="00CB1821">
        <w:rPr>
          <w:rFonts w:ascii="Arial" w:hAnsi="Arial" w:cs="Arial" w:hint="default"/>
          <w:sz w:val="24"/>
          <w:szCs w:val="24"/>
        </w:rPr>
        <w:t>Ab</w:t>
      </w:r>
      <w:proofErr w:type="spellEnd"/>
      <w:r w:rsidRPr="00CB1821">
        <w:rPr>
          <w:rFonts w:ascii="Arial" w:hAnsi="Arial" w:cs="Arial" w:hint="default"/>
          <w:sz w:val="24"/>
          <w:szCs w:val="24"/>
        </w:rPr>
        <w:t xml:space="preserve"> </w:t>
      </w:r>
      <w:r w:rsidRPr="00653501">
        <w:rPr>
          <w:rFonts w:ascii="Arial" w:hAnsi="Arial" w:cs="Arial" w:hint="default"/>
          <w:sz w:val="24"/>
          <w:szCs w:val="24"/>
        </w:rPr>
        <w:t xml:space="preserve">(1:500, </w:t>
      </w:r>
      <w:proofErr w:type="spellStart"/>
      <w:r w:rsidRPr="00653501">
        <w:rPr>
          <w:rFonts w:ascii="Arial" w:hAnsi="Arial" w:cs="Arial" w:hint="default"/>
          <w:sz w:val="24"/>
          <w:szCs w:val="24"/>
        </w:rPr>
        <w:t>GeneTex</w:t>
      </w:r>
      <w:proofErr w:type="spellEnd"/>
      <w:r w:rsidRPr="00653501">
        <w:rPr>
          <w:rFonts w:ascii="Arial" w:hAnsi="Arial" w:cs="Arial" w:hint="default"/>
          <w:sz w:val="24"/>
          <w:szCs w:val="24"/>
        </w:rPr>
        <w:t>,</w:t>
      </w:r>
      <w:r w:rsidR="00EF79B8">
        <w:rPr>
          <w:rFonts w:ascii="Arial" w:hAnsi="Arial" w:cs="Arial" w:hint="default"/>
          <w:sz w:val="24"/>
          <w:szCs w:val="24"/>
        </w:rPr>
        <w:t xml:space="preserve"> </w:t>
      </w:r>
      <w:r w:rsidRPr="00653501">
        <w:rPr>
          <w:rFonts w:ascii="Arial" w:hAnsi="Arial" w:cs="Arial" w:hint="default"/>
          <w:sz w:val="24"/>
          <w:szCs w:val="24"/>
        </w:rPr>
        <w:t xml:space="preserve">USA) for 18 h at 4°C. The secondary antibody (1: 5000, </w:t>
      </w:r>
      <w:proofErr w:type="spellStart"/>
      <w:r w:rsidRPr="00653501">
        <w:rPr>
          <w:rFonts w:ascii="Arial" w:hAnsi="Arial" w:cs="Arial" w:hint="default"/>
          <w:sz w:val="24"/>
          <w:szCs w:val="24"/>
        </w:rPr>
        <w:t>ABclonal</w:t>
      </w:r>
      <w:proofErr w:type="spellEnd"/>
      <w:r w:rsidRPr="00653501">
        <w:rPr>
          <w:rFonts w:ascii="Arial" w:hAnsi="Arial" w:cs="Arial" w:hint="default"/>
          <w:sz w:val="24"/>
          <w:szCs w:val="24"/>
        </w:rPr>
        <w:t>, China) was covered</w:t>
      </w:r>
      <w:r w:rsidRPr="004E320E">
        <w:rPr>
          <w:rFonts w:ascii="Arial" w:hAnsi="Arial" w:cs="Arial" w:hint="default"/>
          <w:color w:val="000000" w:themeColor="text1"/>
          <w:sz w:val="24"/>
          <w:szCs w:val="24"/>
        </w:rPr>
        <w:t xml:space="preserve"> </w:t>
      </w:r>
      <w:r w:rsidR="0048676F" w:rsidRPr="004E320E">
        <w:rPr>
          <w:rFonts w:ascii="Arial" w:hAnsi="Arial" w:cs="Arial" w:hint="default"/>
          <w:color w:val="000000" w:themeColor="text1"/>
          <w:sz w:val="24"/>
          <w:szCs w:val="24"/>
        </w:rPr>
        <w:t>i</w:t>
      </w:r>
      <w:r w:rsidR="00EF79B8" w:rsidRPr="004E320E">
        <w:rPr>
          <w:rFonts w:ascii="Arial" w:hAnsi="Arial" w:cs="Arial"/>
          <w:color w:val="000000" w:themeColor="text1"/>
          <w:sz w:val="24"/>
          <w:szCs w:val="24"/>
        </w:rPr>
        <w:t>n</w:t>
      </w:r>
      <w:r w:rsidR="00EF79B8" w:rsidRPr="004E320E">
        <w:rPr>
          <w:rFonts w:ascii="Arial" w:hAnsi="Arial" w:cs="Arial" w:hint="default"/>
          <w:color w:val="000000" w:themeColor="text1"/>
          <w:sz w:val="24"/>
          <w:szCs w:val="24"/>
        </w:rPr>
        <w:t xml:space="preserve"> </w:t>
      </w:r>
      <w:r w:rsidRPr="00653501">
        <w:rPr>
          <w:rFonts w:ascii="Arial" w:hAnsi="Arial" w:cs="Arial" w:hint="default"/>
          <w:sz w:val="24"/>
          <w:szCs w:val="24"/>
        </w:rPr>
        <w:t xml:space="preserve">the section for 30 min at room temperature. Nuclei were counterstained with </w:t>
      </w:r>
      <w:proofErr w:type="spellStart"/>
      <w:r w:rsidRPr="00653501">
        <w:rPr>
          <w:rFonts w:ascii="Arial" w:hAnsi="Arial" w:cs="Arial" w:hint="default"/>
          <w:sz w:val="24"/>
          <w:szCs w:val="24"/>
        </w:rPr>
        <w:t>haematoxylin</w:t>
      </w:r>
      <w:proofErr w:type="spellEnd"/>
      <w:r w:rsidRPr="00653501">
        <w:rPr>
          <w:rFonts w:ascii="Arial" w:hAnsi="Arial" w:cs="Arial" w:hint="default"/>
          <w:sz w:val="24"/>
          <w:szCs w:val="24"/>
        </w:rPr>
        <w:t>. Images were captured under a microscope.</w:t>
      </w:r>
    </w:p>
    <w:p w14:paraId="6780905E" w14:textId="78A8DD82" w:rsidR="0049067E" w:rsidRDefault="0049067E" w:rsidP="00EA5CF8">
      <w:pPr>
        <w:spacing w:beforeLines="50" w:before="156" w:afterLines="50" w:after="156" w:line="360" w:lineRule="auto"/>
        <w:rPr>
          <w:rFonts w:ascii="Arial" w:hAnsi="Arial" w:cs="Arial" w:hint="default"/>
          <w:b/>
          <w:sz w:val="24"/>
          <w:szCs w:val="24"/>
          <w:u w:val="single"/>
        </w:rPr>
      </w:pPr>
    </w:p>
    <w:p w14:paraId="277EAD30" w14:textId="215C76A6" w:rsidR="00F32B78" w:rsidRPr="00F32B78" w:rsidRDefault="00F32B78" w:rsidP="00F32B78">
      <w:pPr>
        <w:pStyle w:val="EndNoteBibliography"/>
        <w:spacing w:line="480" w:lineRule="auto"/>
        <w:ind w:left="720" w:hanging="720"/>
        <w:rPr>
          <w:rFonts w:ascii="Arial" w:hAnsi="Arial" w:cs="Arial"/>
          <w:sz w:val="24"/>
          <w:szCs w:val="24"/>
        </w:rPr>
      </w:pPr>
      <w:bookmarkStart w:id="2" w:name="_ENREF_1"/>
      <w:r w:rsidRPr="00F32B78">
        <w:rPr>
          <w:rFonts w:ascii="Arial" w:hAnsi="Arial" w:cs="Arial"/>
          <w:sz w:val="24"/>
          <w:szCs w:val="24"/>
        </w:rPr>
        <w:t>1.</w:t>
      </w:r>
      <w:r w:rsidRPr="00F32B78">
        <w:rPr>
          <w:rFonts w:ascii="Arial" w:hAnsi="Arial" w:cs="Arial"/>
          <w:sz w:val="24"/>
          <w:szCs w:val="24"/>
        </w:rPr>
        <w:tab/>
        <w:t>Du P, Liu R, Sun S, Dong H, Zhao R, Tang R. Biomineralization improves the thermostability of foot-and-mouth disease virus-like particles and the protective immune response induced</w:t>
      </w:r>
      <w:r w:rsidRPr="00F32B78">
        <w:rPr>
          <w:rFonts w:ascii="Arial" w:hAnsi="Arial" w:cs="Arial"/>
          <w:i/>
          <w:sz w:val="24"/>
          <w:szCs w:val="24"/>
        </w:rPr>
        <w:t>.</w:t>
      </w:r>
      <w:r w:rsidRPr="00F32B78">
        <w:rPr>
          <w:rFonts w:ascii="Arial" w:hAnsi="Arial" w:cs="Arial"/>
          <w:i/>
          <w:iCs/>
          <w:sz w:val="24"/>
          <w:szCs w:val="24"/>
        </w:rPr>
        <w:t xml:space="preserve"> </w:t>
      </w:r>
      <w:r w:rsidRPr="0024366F">
        <w:rPr>
          <w:rFonts w:ascii="Arial" w:hAnsi="Arial" w:cs="Arial"/>
          <w:i/>
          <w:iCs/>
          <w:sz w:val="24"/>
          <w:szCs w:val="24"/>
        </w:rPr>
        <w:t>Nanoscale.</w:t>
      </w:r>
      <w:r w:rsidRPr="00F32B78">
        <w:rPr>
          <w:rFonts w:ascii="Arial" w:hAnsi="Arial" w:cs="Arial"/>
          <w:sz w:val="24"/>
          <w:szCs w:val="24"/>
        </w:rPr>
        <w:t xml:space="preserve"> 11(47), 22748-22761 (2019).</w:t>
      </w:r>
      <w:bookmarkEnd w:id="2"/>
    </w:p>
    <w:p w14:paraId="41C6DEF5" w14:textId="4EB2B184" w:rsidR="00F32B78" w:rsidRPr="00F32B78" w:rsidRDefault="00F32B78" w:rsidP="00F32B78">
      <w:pPr>
        <w:pStyle w:val="EndNoteBibliography"/>
        <w:spacing w:line="480" w:lineRule="auto"/>
        <w:ind w:left="720" w:hanging="720"/>
        <w:rPr>
          <w:rFonts w:ascii="Arial" w:hAnsi="Arial" w:cs="Arial"/>
          <w:sz w:val="24"/>
          <w:szCs w:val="24"/>
        </w:rPr>
      </w:pPr>
      <w:bookmarkStart w:id="3" w:name="_ENREF_2"/>
      <w:r w:rsidRPr="00F32B78">
        <w:rPr>
          <w:rFonts w:ascii="Arial" w:hAnsi="Arial" w:cs="Arial"/>
          <w:sz w:val="24"/>
          <w:szCs w:val="24"/>
        </w:rPr>
        <w:t>2.</w:t>
      </w:r>
      <w:r w:rsidRPr="00F32B78">
        <w:rPr>
          <w:rFonts w:ascii="Arial" w:hAnsi="Arial" w:cs="Arial"/>
          <w:sz w:val="24"/>
          <w:szCs w:val="24"/>
        </w:rPr>
        <w:tab/>
        <w:t>Ren X, Qian P, Hu Z, Chen H, Li X. Genetic characterization of atypical porcine pestivirus from neonatal piglets with congenital tremor in Hubei province, China</w:t>
      </w:r>
      <w:r w:rsidRPr="00F32B78">
        <w:rPr>
          <w:rFonts w:ascii="Arial" w:hAnsi="Arial" w:cs="Arial"/>
          <w:i/>
          <w:sz w:val="24"/>
          <w:szCs w:val="24"/>
        </w:rPr>
        <w:t>.</w:t>
      </w:r>
      <w:r w:rsidRPr="00F32B78">
        <w:rPr>
          <w:rFonts w:ascii="Arial" w:hAnsi="Arial" w:cs="Arial"/>
          <w:sz w:val="24"/>
          <w:szCs w:val="24"/>
        </w:rPr>
        <w:t xml:space="preserve"> </w:t>
      </w:r>
      <w:r w:rsidRPr="0024366F">
        <w:rPr>
          <w:rFonts w:ascii="Arial" w:hAnsi="Arial" w:cs="Arial"/>
          <w:i/>
          <w:iCs/>
          <w:sz w:val="24"/>
          <w:szCs w:val="24"/>
        </w:rPr>
        <w:t>Virol J.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F32B78">
        <w:rPr>
          <w:rFonts w:ascii="Arial" w:hAnsi="Arial" w:cs="Arial"/>
          <w:sz w:val="24"/>
          <w:szCs w:val="24"/>
        </w:rPr>
        <w:t>19(1), 51 (2022).</w:t>
      </w:r>
      <w:bookmarkEnd w:id="3"/>
    </w:p>
    <w:p w14:paraId="71B11191" w14:textId="77777777" w:rsidR="00EE1E27" w:rsidRDefault="00EE1E27">
      <w:pPr>
        <w:rPr>
          <w:rFonts w:hint="default"/>
        </w:rPr>
      </w:pPr>
    </w:p>
    <w:sectPr w:rsidR="00EE1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F1916"/>
    <w:multiLevelType w:val="hybridMultilevel"/>
    <w:tmpl w:val="3BCC80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191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2NDA2MLA0MTQyNjdW0lEKTi0uzszPAykwrAUAJKl/2S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32B78"/>
    <w:rsid w:val="00060715"/>
    <w:rsid w:val="000D53B8"/>
    <w:rsid w:val="00111BD4"/>
    <w:rsid w:val="001233A7"/>
    <w:rsid w:val="00130FFF"/>
    <w:rsid w:val="0013239E"/>
    <w:rsid w:val="001B48F5"/>
    <w:rsid w:val="001D2041"/>
    <w:rsid w:val="00216D60"/>
    <w:rsid w:val="0039113C"/>
    <w:rsid w:val="003E1F47"/>
    <w:rsid w:val="00403175"/>
    <w:rsid w:val="00470902"/>
    <w:rsid w:val="0048676F"/>
    <w:rsid w:val="0049067E"/>
    <w:rsid w:val="004E320E"/>
    <w:rsid w:val="005C20AC"/>
    <w:rsid w:val="0066271F"/>
    <w:rsid w:val="006F508A"/>
    <w:rsid w:val="00725CEE"/>
    <w:rsid w:val="00815321"/>
    <w:rsid w:val="0085203B"/>
    <w:rsid w:val="00A90B24"/>
    <w:rsid w:val="00AE7EEC"/>
    <w:rsid w:val="00BA04E7"/>
    <w:rsid w:val="00BA2EE5"/>
    <w:rsid w:val="00C663C4"/>
    <w:rsid w:val="00C82E9F"/>
    <w:rsid w:val="00CB1821"/>
    <w:rsid w:val="00D13947"/>
    <w:rsid w:val="00D71886"/>
    <w:rsid w:val="00ED6913"/>
    <w:rsid w:val="00EE1E27"/>
    <w:rsid w:val="00EE1F15"/>
    <w:rsid w:val="00EE7F71"/>
    <w:rsid w:val="00EF79B8"/>
    <w:rsid w:val="00F052A7"/>
    <w:rsid w:val="00F32B78"/>
    <w:rsid w:val="00FB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F20ED"/>
  <w15:chartTrackingRefBased/>
  <w15:docId w15:val="{D40A2D06-43E4-4698-866D-90500D51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B78"/>
    <w:pPr>
      <w:widowControl w:val="0"/>
      <w:jc w:val="both"/>
    </w:pPr>
    <w:rPr>
      <w:rFonts w:ascii="Calibri" w:eastAsia="SimSun" w:hAnsi="Calibri" w:cs="Times New Roman" w:hint="eastAsi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6affiliation">
    <w:name w:val="MDPI_1.6_affiliation"/>
    <w:qFormat/>
    <w:rsid w:val="00F32B7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character" w:styleId="Hyperlink">
    <w:name w:val="Hyperlink"/>
    <w:basedOn w:val="DefaultParagraphFont"/>
    <w:uiPriority w:val="99"/>
    <w:unhideWhenUsed/>
    <w:rsid w:val="00F32B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B78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0"/>
    <w:qFormat/>
    <w:rsid w:val="00F32B78"/>
    <w:rPr>
      <w:rFonts w:eastAsia="DengXian" w:cs="Calibri" w:hint="default"/>
      <w:noProof/>
      <w:sz w:val="20"/>
      <w:szCs w:val="22"/>
    </w:rPr>
  </w:style>
  <w:style w:type="character" w:customStyle="1" w:styleId="EndNoteBibliography0">
    <w:name w:val="EndNote Bibliography 字符"/>
    <w:basedOn w:val="DefaultParagraphFont"/>
    <w:link w:val="EndNoteBibliography"/>
    <w:rsid w:val="00F32B78"/>
    <w:rPr>
      <w:rFonts w:ascii="Calibri" w:eastAsia="DengXian" w:hAnsi="Calibri" w:cs="Calibri"/>
      <w:noProof/>
      <w:sz w:val="20"/>
    </w:rPr>
  </w:style>
  <w:style w:type="paragraph" w:customStyle="1" w:styleId="EndNoteBibliographyTitle">
    <w:name w:val="EndNote Bibliography Title"/>
    <w:basedOn w:val="Normal"/>
    <w:link w:val="EndNoteBibliographyTitle0"/>
    <w:rsid w:val="00F32B78"/>
    <w:pPr>
      <w:jc w:val="center"/>
    </w:pPr>
    <w:rPr>
      <w:rFonts w:cs="Calibri" w:hint="default"/>
      <w:noProof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F32B78"/>
    <w:rPr>
      <w:rFonts w:ascii="Calibri" w:eastAsia="SimSun" w:hAnsi="Calibri" w:cs="Calibri"/>
      <w:noProof/>
      <w:sz w:val="20"/>
      <w:szCs w:val="20"/>
    </w:rPr>
  </w:style>
  <w:style w:type="paragraph" w:styleId="Revision">
    <w:name w:val="Revision"/>
    <w:hidden/>
    <w:uiPriority w:val="99"/>
    <w:semiHidden/>
    <w:rsid w:val="00D13947"/>
    <w:rPr>
      <w:rFonts w:ascii="Calibri" w:eastAsia="SimSun" w:hAnsi="Calibri" w:cs="Times New Roman" w:hint="eastAsia"/>
      <w:szCs w:val="20"/>
    </w:rPr>
  </w:style>
  <w:style w:type="character" w:styleId="Emphasis">
    <w:name w:val="Emphasis"/>
    <w:basedOn w:val="DefaultParagraphFont"/>
    <w:uiPriority w:val="20"/>
    <w:qFormat/>
    <w:rsid w:val="001B4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topics/medicine-and-dentistry/eosin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ciencedirect.com/topics/medicine-and-dentistry/haematoxyl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iencedirect.com/topics/medicine-and-dentistry/rehydratio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DE9F6-9BC8-493F-890F-FA56D5E1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 慢慢</dc:creator>
  <cp:keywords/>
  <dc:description/>
  <cp:lastModifiedBy>Dan Sharpe</cp:lastModifiedBy>
  <cp:revision>17</cp:revision>
  <dcterms:created xsi:type="dcterms:W3CDTF">2023-01-16T03:03:00Z</dcterms:created>
  <dcterms:modified xsi:type="dcterms:W3CDTF">2023-01-19T12:03:00Z</dcterms:modified>
</cp:coreProperties>
</file>