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DD871" w14:textId="77777777" w:rsidR="0008353A" w:rsidRPr="00A10B40" w:rsidRDefault="0008353A" w:rsidP="0008353A">
      <w:pPr>
        <w:pStyle w:val="ListParagraph"/>
        <w:spacing w:after="0" w:line="240" w:lineRule="auto"/>
        <w:ind w:left="360"/>
        <w:jc w:val="center"/>
        <w:rPr>
          <w:rFonts w:cstheme="minorHAnsi"/>
          <w:bCs/>
          <w:sz w:val="20"/>
          <w:szCs w:val="20"/>
        </w:rPr>
      </w:pPr>
      <w:r w:rsidRPr="00A10B40">
        <w:rPr>
          <w:rFonts w:cstheme="minorHAnsi"/>
          <w:bCs/>
          <w:sz w:val="20"/>
          <w:szCs w:val="20"/>
        </w:rPr>
        <w:t>Table 1: Summary of studies on intraductal delivery of chemotherapeutic agent via intraductal route</w:t>
      </w:r>
    </w:p>
    <w:tbl>
      <w:tblPr>
        <w:tblStyle w:val="PlainTable2"/>
        <w:tblW w:w="1403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559"/>
        <w:gridCol w:w="1985"/>
        <w:gridCol w:w="5103"/>
        <w:gridCol w:w="1417"/>
      </w:tblGrid>
      <w:tr w:rsidR="0008353A" w:rsidRPr="00573629" w14:paraId="2EF8BEC3" w14:textId="77777777" w:rsidTr="00B9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01E51B0E" w14:textId="77777777" w:rsidR="0008353A" w:rsidRPr="00573629" w:rsidRDefault="0008353A" w:rsidP="00B91428">
            <w:pPr>
              <w:pStyle w:val="ListParagraph"/>
              <w:spacing w:after="0" w:line="240" w:lineRule="auto"/>
              <w:ind w:left="37"/>
              <w:jc w:val="both"/>
              <w:rPr>
                <w:rFonts w:cstheme="minorHAnsi"/>
                <w:bCs w:val="0"/>
                <w:sz w:val="20"/>
                <w:szCs w:val="20"/>
              </w:rPr>
            </w:pPr>
            <w:r w:rsidRPr="00573629">
              <w:rPr>
                <w:rFonts w:cstheme="minorHAnsi"/>
                <w:sz w:val="20"/>
                <w:szCs w:val="20"/>
              </w:rPr>
              <w:t>Objective</w:t>
            </w:r>
          </w:p>
        </w:tc>
        <w:tc>
          <w:tcPr>
            <w:tcW w:w="1984" w:type="dxa"/>
            <w:hideMark/>
          </w:tcPr>
          <w:p w14:paraId="4D4B9DCF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</w:rPr>
            </w:pPr>
            <w:r w:rsidRPr="00573629">
              <w:rPr>
                <w:rFonts w:cstheme="minorHAnsi"/>
                <w:sz w:val="20"/>
                <w:szCs w:val="20"/>
              </w:rPr>
              <w:t>Formulation</w:t>
            </w:r>
          </w:p>
        </w:tc>
        <w:tc>
          <w:tcPr>
            <w:tcW w:w="1559" w:type="dxa"/>
            <w:hideMark/>
          </w:tcPr>
          <w:p w14:paraId="68F1F11B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</w:rPr>
            </w:pPr>
            <w:r w:rsidRPr="00573629">
              <w:rPr>
                <w:rFonts w:cstheme="minorHAnsi"/>
                <w:bCs w:val="0"/>
                <w:sz w:val="20"/>
                <w:szCs w:val="20"/>
              </w:rPr>
              <w:t>Drug</w:t>
            </w:r>
          </w:p>
        </w:tc>
        <w:tc>
          <w:tcPr>
            <w:tcW w:w="1985" w:type="dxa"/>
            <w:hideMark/>
          </w:tcPr>
          <w:p w14:paraId="24BB80A9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</w:rPr>
            </w:pPr>
            <w:r w:rsidRPr="00573629">
              <w:rPr>
                <w:rFonts w:cstheme="minorHAnsi"/>
                <w:sz w:val="20"/>
                <w:szCs w:val="20"/>
              </w:rPr>
              <w:t>Animal/cell lines</w:t>
            </w:r>
          </w:p>
        </w:tc>
        <w:tc>
          <w:tcPr>
            <w:tcW w:w="5103" w:type="dxa"/>
            <w:hideMark/>
          </w:tcPr>
          <w:p w14:paraId="4843A3CB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</w:rPr>
            </w:pPr>
            <w:r w:rsidRPr="00573629">
              <w:rPr>
                <w:rFonts w:cstheme="minorHAnsi"/>
                <w:sz w:val="20"/>
                <w:szCs w:val="20"/>
              </w:rPr>
              <w:t>Outcome</w:t>
            </w:r>
          </w:p>
        </w:tc>
        <w:tc>
          <w:tcPr>
            <w:tcW w:w="1417" w:type="dxa"/>
          </w:tcPr>
          <w:p w14:paraId="65EF78C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0"/>
                <w:szCs w:val="20"/>
              </w:rPr>
            </w:pPr>
            <w:r w:rsidRPr="00573629">
              <w:rPr>
                <w:rFonts w:cstheme="minorHAnsi"/>
                <w:bCs w:val="0"/>
                <w:sz w:val="20"/>
                <w:szCs w:val="20"/>
              </w:rPr>
              <w:t>Reference</w:t>
            </w:r>
          </w:p>
        </w:tc>
      </w:tr>
      <w:tr w:rsidR="0008353A" w:rsidRPr="00573629" w14:paraId="6C8A0CAE" w14:textId="77777777" w:rsidTr="00B91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17BB043A" w14:textId="77777777" w:rsidR="0008353A" w:rsidRPr="00A10B40" w:rsidRDefault="0008353A" w:rsidP="00B91428">
            <w:pPr>
              <w:pStyle w:val="ListParagraph"/>
              <w:spacing w:after="0" w:line="240" w:lineRule="auto"/>
              <w:ind w:left="37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A10B40">
              <w:rPr>
                <w:rFonts w:cstheme="minorHAnsi"/>
                <w:b w:val="0"/>
                <w:sz w:val="20"/>
                <w:szCs w:val="20"/>
              </w:rPr>
              <w:t>To understand the influence of particle size and formulation on the retention of a breast duct and lymph node.</w:t>
            </w:r>
          </w:p>
        </w:tc>
        <w:tc>
          <w:tcPr>
            <w:tcW w:w="1984" w:type="dxa"/>
            <w:hideMark/>
          </w:tcPr>
          <w:p w14:paraId="7C9DE02F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PLGA nanoparticles.</w:t>
            </w:r>
          </w:p>
          <w:p w14:paraId="4FAE7757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Microparticles and gels, </w:t>
            </w:r>
          </w:p>
          <w:p w14:paraId="73251FA4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Fluorescent-labeled polystyrene (PS) particles</w:t>
            </w:r>
          </w:p>
        </w:tc>
        <w:tc>
          <w:tcPr>
            <w:tcW w:w="1559" w:type="dxa"/>
            <w:hideMark/>
          </w:tcPr>
          <w:p w14:paraId="723BCB04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Cy 5.5 dye was used for investigation</w:t>
            </w:r>
          </w:p>
        </w:tc>
        <w:tc>
          <w:tcPr>
            <w:tcW w:w="1985" w:type="dxa"/>
            <w:hideMark/>
          </w:tcPr>
          <w:p w14:paraId="7AE83CC7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Rat</w:t>
            </w:r>
          </w:p>
        </w:tc>
        <w:tc>
          <w:tcPr>
            <w:tcW w:w="5103" w:type="dxa"/>
            <w:hideMark/>
          </w:tcPr>
          <w:p w14:paraId="3A70A6E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Longer retention in the duct for polystyrene with the size of 1000nm was observed compared to 100 and 500nm nanoparticles. A five-fold increase in ductal retention half-life was observed in polystyrene microparticles compared to nanoparticles. Compared to nanoparticles, longer retention of PLGA in situ gel and microparticles were observed.</w:t>
            </w:r>
          </w:p>
        </w:tc>
        <w:tc>
          <w:tcPr>
            <w:tcW w:w="1417" w:type="dxa"/>
          </w:tcPr>
          <w:p w14:paraId="0EBF3167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[8</w:t>
            </w:r>
            <w:r w:rsidRPr="00573629">
              <w:rPr>
                <w:rFonts w:cstheme="minorHAnsi"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Cs/>
                <w:sz w:val="20"/>
                <w:szCs w:val="20"/>
              </w:rPr>
              <w:t>]</w:t>
            </w:r>
            <w:r w:rsidRPr="00573629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57D6F536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8353A" w:rsidRPr="00573629" w14:paraId="6BB7BE32" w14:textId="77777777" w:rsidTr="00B91428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71556EA" w14:textId="77777777" w:rsidR="0008353A" w:rsidRPr="00A10B40" w:rsidRDefault="0008353A" w:rsidP="00B91428">
            <w:pPr>
              <w:pStyle w:val="ListParagraph"/>
              <w:spacing w:after="0" w:line="240" w:lineRule="auto"/>
              <w:ind w:left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To investigate the toxicity of </w:t>
            </w:r>
            <w:proofErr w:type="spellStart"/>
            <w:r w:rsidRPr="00A10B40">
              <w:rPr>
                <w:rFonts w:cstheme="minorHAnsi"/>
                <w:b w:val="0"/>
                <w:sz w:val="20"/>
                <w:szCs w:val="20"/>
              </w:rPr>
              <w:t>perductal</w:t>
            </w:r>
            <w:proofErr w:type="spellEnd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 and IV paclitaxel exposure on the </w:t>
            </w:r>
            <w:proofErr w:type="gramStart"/>
            <w:r w:rsidRPr="00A10B40">
              <w:rPr>
                <w:rFonts w:cstheme="minorHAnsi"/>
                <w:b w:val="0"/>
                <w:sz w:val="20"/>
                <w:szCs w:val="20"/>
              </w:rPr>
              <w:t>chemically-induced</w:t>
            </w:r>
            <w:proofErr w:type="gramEnd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 breast cancer on female S-D rats </w:t>
            </w:r>
          </w:p>
          <w:p w14:paraId="58B41178" w14:textId="77777777" w:rsidR="0008353A" w:rsidRPr="00A10B40" w:rsidRDefault="0008353A" w:rsidP="00B91428">
            <w:pPr>
              <w:pStyle w:val="ListParagraph"/>
              <w:spacing w:after="0" w:line="240" w:lineRule="auto"/>
              <w:ind w:left="0"/>
              <w:jc w:val="both"/>
              <w:rPr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F0F06DB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Preductal or intraperitoneal injection </w:t>
            </w:r>
          </w:p>
        </w:tc>
        <w:tc>
          <w:tcPr>
            <w:tcW w:w="1559" w:type="dxa"/>
          </w:tcPr>
          <w:p w14:paraId="4E86C65E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Paclitaxel,</w:t>
            </w:r>
          </w:p>
          <w:p w14:paraId="2374D094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3727BBB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female Sprague-Dawley (SD) rats</w:t>
            </w:r>
          </w:p>
        </w:tc>
        <w:tc>
          <w:tcPr>
            <w:tcW w:w="5103" w:type="dxa"/>
          </w:tcPr>
          <w:p w14:paraId="6A019716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No toxic side effect was observed with the administration of periductal paclitaxel. A significant reduction can be observed in rats with periductal administration of paclitaxel compared to intraperitoneal injection of paclitaxel. There was an increase in apoptosis and a decrease in </w:t>
            </w:r>
            <w:proofErr w:type="spellStart"/>
            <w:r w:rsidRPr="00573629">
              <w:rPr>
                <w:rFonts w:cstheme="minorHAnsi"/>
                <w:bCs/>
                <w:sz w:val="20"/>
                <w:szCs w:val="20"/>
              </w:rPr>
              <w:t>microvessel</w:t>
            </w:r>
            <w:proofErr w:type="spellEnd"/>
            <w:r w:rsidRPr="00573629">
              <w:rPr>
                <w:rFonts w:cstheme="minorHAnsi"/>
                <w:bCs/>
                <w:sz w:val="20"/>
                <w:szCs w:val="20"/>
              </w:rPr>
              <w:t xml:space="preserve"> density observed in periductal administration compared to intraperitoneal injection.</w:t>
            </w:r>
          </w:p>
        </w:tc>
        <w:tc>
          <w:tcPr>
            <w:tcW w:w="1417" w:type="dxa"/>
          </w:tcPr>
          <w:p w14:paraId="5A0E253F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[8</w:t>
            </w:r>
            <w:r w:rsidRPr="00573629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 xml:space="preserve">] </w:t>
            </w:r>
          </w:p>
        </w:tc>
      </w:tr>
      <w:tr w:rsidR="0008353A" w:rsidRPr="00573629" w14:paraId="1538418A" w14:textId="77777777" w:rsidTr="00B91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3087BFA" w14:textId="77777777" w:rsidR="0008353A" w:rsidRPr="00A10B40" w:rsidRDefault="0008353A" w:rsidP="00B91428">
            <w:pPr>
              <w:pStyle w:val="ListParagraph"/>
              <w:spacing w:after="0" w:line="240" w:lineRule="auto"/>
              <w:ind w:left="0"/>
              <w:jc w:val="both"/>
              <w:rPr>
                <w:rFonts w:cstheme="minorHAnsi"/>
                <w:b w:val="0"/>
                <w:sz w:val="20"/>
                <w:szCs w:val="20"/>
              </w:rPr>
            </w:pPr>
            <w:bookmarkStart w:id="0" w:name="_Hlk113359965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To study the effectiveness of intraductal administration of 4-hydroxytamoxifen (4-OHT) and pegylated liposomal doxorubicin (PLD) in the </w:t>
            </w:r>
            <w:bookmarkStart w:id="1" w:name="_Hlk113360024"/>
            <w:bookmarkEnd w:id="0"/>
            <w:r w:rsidRPr="00A10B40">
              <w:rPr>
                <w:rFonts w:cstheme="minorHAnsi"/>
                <w:b w:val="0"/>
                <w:sz w:val="20"/>
                <w:szCs w:val="20"/>
              </w:rPr>
              <w:t>prevention and the treatment of rat mammary tumors induced by N-methyl-N-nitrosourea (MNU)</w:t>
            </w:r>
            <w:bookmarkEnd w:id="1"/>
          </w:p>
        </w:tc>
        <w:tc>
          <w:tcPr>
            <w:tcW w:w="1984" w:type="dxa"/>
          </w:tcPr>
          <w:p w14:paraId="7788EA60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Liposomes</w:t>
            </w:r>
          </w:p>
        </w:tc>
        <w:tc>
          <w:tcPr>
            <w:tcW w:w="1559" w:type="dxa"/>
          </w:tcPr>
          <w:p w14:paraId="5A946CCC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4-hydroxytamoxifen &amp; Doxorubicin</w:t>
            </w:r>
          </w:p>
        </w:tc>
        <w:tc>
          <w:tcPr>
            <w:tcW w:w="1985" w:type="dxa"/>
          </w:tcPr>
          <w:p w14:paraId="0B1EABB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N-methyl-N-nitrosourea caused Sprague-Dawley rats and spontaneous HER-2</w:t>
            </w:r>
            <w:r w:rsidRPr="00573629">
              <w:rPr>
                <w:rFonts w:cstheme="minorHAnsi"/>
                <w:bCs/>
                <w:i/>
                <w:iCs/>
                <w:sz w:val="20"/>
                <w:szCs w:val="20"/>
              </w:rPr>
              <w:t>/neu</w:t>
            </w:r>
            <w:r w:rsidRPr="00573629">
              <w:rPr>
                <w:rFonts w:cstheme="minorHAnsi"/>
                <w:bCs/>
                <w:sz w:val="20"/>
                <w:szCs w:val="20"/>
              </w:rPr>
              <w:t> transgenic mouse</w:t>
            </w:r>
          </w:p>
        </w:tc>
        <w:tc>
          <w:tcPr>
            <w:tcW w:w="5103" w:type="dxa"/>
          </w:tcPr>
          <w:p w14:paraId="32ADA07C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The intraductal administration of 4-OHT and PLD effectively prevents and treats non-invasive mammary tumors in rats and mice. </w:t>
            </w:r>
            <w:proofErr w:type="gramStart"/>
            <w:r w:rsidRPr="00573629">
              <w:rPr>
                <w:rFonts w:cstheme="minorHAnsi"/>
                <w:bCs/>
                <w:sz w:val="20"/>
                <w:szCs w:val="20"/>
              </w:rPr>
              <w:t>Longer</w:t>
            </w:r>
            <w:proofErr w:type="gramEnd"/>
            <w:r w:rsidRPr="00573629">
              <w:rPr>
                <w:rFonts w:cstheme="minorHAnsi"/>
                <w:bCs/>
                <w:sz w:val="20"/>
                <w:szCs w:val="20"/>
              </w:rPr>
              <w:t xml:space="preserve"> serum half-life and reduced toxicity were observed in treatment with PLD compared to free doxorubicin. No toxic side effect is observed in intraductal PLD.</w:t>
            </w:r>
          </w:p>
        </w:tc>
        <w:tc>
          <w:tcPr>
            <w:tcW w:w="1417" w:type="dxa"/>
          </w:tcPr>
          <w:p w14:paraId="49F2803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[8</w:t>
            </w:r>
            <w:r w:rsidRPr="00573629">
              <w:rPr>
                <w:rFonts w:cstheme="minorHAnsi"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772D057B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8353A" w:rsidRPr="00573629" w14:paraId="5248E6A9" w14:textId="77777777" w:rsidTr="00B91428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A36F65E" w14:textId="77777777" w:rsidR="0008353A" w:rsidRPr="00A10B40" w:rsidRDefault="0008353A" w:rsidP="00B91428">
            <w:pPr>
              <w:pStyle w:val="ListParagraph"/>
              <w:spacing w:after="0" w:line="240" w:lineRule="auto"/>
              <w:ind w:left="0"/>
              <w:jc w:val="both"/>
              <w:rPr>
                <w:rFonts w:cstheme="minorHAnsi"/>
                <w:b w:val="0"/>
                <w:sz w:val="20"/>
                <w:szCs w:val="20"/>
              </w:rPr>
            </w:pPr>
            <w:bookmarkStart w:id="2" w:name="_Hlk113360645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To investigate the chemotherapeutic effects of intraductal administration </w:t>
            </w:r>
            <w:bookmarkEnd w:id="2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of </w:t>
            </w:r>
            <w:bookmarkStart w:id="3" w:name="_Hlk113360724"/>
            <w:r w:rsidRPr="00A10B40">
              <w:rPr>
                <w:rFonts w:cstheme="minorHAnsi"/>
                <w:b w:val="0"/>
                <w:sz w:val="20"/>
                <w:szCs w:val="20"/>
              </w:rPr>
              <w:lastRenderedPageBreak/>
              <w:t>ciclopirox loaded nanocarriers.</w:t>
            </w:r>
            <w:bookmarkEnd w:id="3"/>
          </w:p>
        </w:tc>
        <w:tc>
          <w:tcPr>
            <w:tcW w:w="1984" w:type="dxa"/>
          </w:tcPr>
          <w:p w14:paraId="19964692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lastRenderedPageBreak/>
              <w:t xml:space="preserve">CPX nanosuspension, CPX-Zn nanosuspension, </w:t>
            </w:r>
            <w:r w:rsidRPr="00573629">
              <w:rPr>
                <w:rFonts w:cstheme="minorHAnsi"/>
                <w:bCs/>
                <w:sz w:val="20"/>
                <w:szCs w:val="20"/>
              </w:rPr>
              <w:lastRenderedPageBreak/>
              <w:t>CPX-Zn PLGA nanoparticle</w:t>
            </w:r>
          </w:p>
        </w:tc>
        <w:tc>
          <w:tcPr>
            <w:tcW w:w="1559" w:type="dxa"/>
          </w:tcPr>
          <w:p w14:paraId="351E216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lastRenderedPageBreak/>
              <w:t>Ciclopirox (CPX)</w:t>
            </w:r>
            <w:r w:rsidRPr="00573629">
              <w:rPr>
                <w:rFonts w:ascii="MS Gothic" w:eastAsia="MS Gothic" w:hAnsi="MS Gothic" w:cs="MS Gothic" w:hint="eastAsia"/>
                <w:bCs/>
                <w:sz w:val="20"/>
                <w:szCs w:val="20"/>
              </w:rPr>
              <w:t>，</w:t>
            </w:r>
            <w:r w:rsidRPr="00573629">
              <w:rPr>
                <w:rFonts w:cstheme="minorHAnsi"/>
                <w:bCs/>
                <w:sz w:val="20"/>
                <w:szCs w:val="20"/>
              </w:rPr>
              <w:t xml:space="preserve"> ciclopirox and zinc (CPS-Zn)</w:t>
            </w:r>
          </w:p>
        </w:tc>
        <w:tc>
          <w:tcPr>
            <w:tcW w:w="1985" w:type="dxa"/>
          </w:tcPr>
          <w:p w14:paraId="5FF39E57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13762 Mat B III cell line, F344 rats</w:t>
            </w:r>
          </w:p>
        </w:tc>
        <w:tc>
          <w:tcPr>
            <w:tcW w:w="5103" w:type="dxa"/>
          </w:tcPr>
          <w:p w14:paraId="200E6578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The release of CPX was slowed with CPX-Zn nanosuspension and is even slower in CPX-Zn incorporated in PLGA nanoparticles. The mammary tissue persistence is the longest in CPX-Zn nanoparticles and the lowest in CPX nanosuspension. Five-fold dose </w:t>
            </w:r>
            <w:r w:rsidRPr="00573629">
              <w:rPr>
                <w:rFonts w:cstheme="minorHAnsi"/>
                <w:bCs/>
                <w:sz w:val="20"/>
                <w:szCs w:val="20"/>
              </w:rPr>
              <w:lastRenderedPageBreak/>
              <w:t>reduction was observed in CPX-Zn nanoparticles compared to CPX nanosuspension to provide a similar efficacy.</w:t>
            </w:r>
          </w:p>
        </w:tc>
        <w:tc>
          <w:tcPr>
            <w:tcW w:w="1417" w:type="dxa"/>
          </w:tcPr>
          <w:p w14:paraId="63577BB7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[</w:t>
            </w:r>
            <w:r w:rsidRPr="00573629">
              <w:rPr>
                <w:rFonts w:cstheme="minorHAnsi"/>
                <w:bCs/>
                <w:sz w:val="20"/>
                <w:szCs w:val="20"/>
              </w:rPr>
              <w:t>46</w:t>
            </w:r>
            <w:r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2E32147E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8353A" w:rsidRPr="00573629" w14:paraId="755E137C" w14:textId="77777777" w:rsidTr="00B91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1C5C6C6" w14:textId="77777777" w:rsidR="0008353A" w:rsidRPr="00A10B40" w:rsidRDefault="0008353A" w:rsidP="00B91428">
            <w:pPr>
              <w:pStyle w:val="ListParagraph"/>
              <w:spacing w:after="0" w:line="240" w:lineRule="auto"/>
              <w:ind w:left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To study the role of Nano </w:t>
            </w:r>
            <w:proofErr w:type="spellStart"/>
            <w:r w:rsidRPr="00A10B40">
              <w:rPr>
                <w:rFonts w:cstheme="minorHAnsi"/>
                <w:b w:val="0"/>
                <w:sz w:val="20"/>
                <w:szCs w:val="20"/>
              </w:rPr>
              <w:t>Curc</w:t>
            </w:r>
            <w:proofErr w:type="spellEnd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 in N-methyl-N-nitrosourea (MNU)-induced chemical </w:t>
            </w:r>
            <w:proofErr w:type="spellStart"/>
            <w:r w:rsidRPr="00A10B40">
              <w:rPr>
                <w:rFonts w:cstheme="minorHAnsi"/>
                <w:b w:val="0"/>
                <w:sz w:val="20"/>
                <w:szCs w:val="20"/>
              </w:rPr>
              <w:t>carcinogenesmodel</w:t>
            </w:r>
            <w:proofErr w:type="spellEnd"/>
            <w:r w:rsidRPr="00A10B40">
              <w:rPr>
                <w:rFonts w:cstheme="minorHAnsi"/>
                <w:b w:val="0"/>
                <w:sz w:val="20"/>
                <w:szCs w:val="20"/>
              </w:rPr>
              <w:t xml:space="preserve"> of rat breast cancer and the effectiveness of intraductal administration</w:t>
            </w:r>
          </w:p>
        </w:tc>
        <w:tc>
          <w:tcPr>
            <w:tcW w:w="1984" w:type="dxa"/>
          </w:tcPr>
          <w:p w14:paraId="2B676A8E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73629">
              <w:rPr>
                <w:rFonts w:cstheme="minorHAnsi"/>
                <w:bCs/>
                <w:sz w:val="20"/>
                <w:szCs w:val="20"/>
              </w:rPr>
              <w:t>NanoCurc</w:t>
            </w:r>
            <w:proofErr w:type="spellEnd"/>
            <w:r w:rsidRPr="00573629">
              <w:rPr>
                <w:rFonts w:cstheme="minorHAnsi"/>
                <w:bCs/>
                <w:sz w:val="20"/>
                <w:szCs w:val="20"/>
              </w:rPr>
              <w:t xml:space="preserve"> (polymeric nanoparticle encapsulated formulation of curcumin),</w:t>
            </w:r>
          </w:p>
        </w:tc>
        <w:tc>
          <w:tcPr>
            <w:tcW w:w="1559" w:type="dxa"/>
          </w:tcPr>
          <w:p w14:paraId="396F8E25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Curcumin</w:t>
            </w:r>
          </w:p>
        </w:tc>
        <w:tc>
          <w:tcPr>
            <w:tcW w:w="1985" w:type="dxa"/>
          </w:tcPr>
          <w:p w14:paraId="07AD0300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3 to 4 weeks age of female Sprague–Dawley rats</w:t>
            </w:r>
          </w:p>
        </w:tc>
        <w:tc>
          <w:tcPr>
            <w:tcW w:w="5103" w:type="dxa"/>
          </w:tcPr>
          <w:p w14:paraId="1358DD8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All three chemoprevention modalities observed a significant reduction in mammary tumor incidence. Compared to free curcumin, there is a substantial reduction in mean tumor size in intraductal </w:t>
            </w:r>
            <w:proofErr w:type="spellStart"/>
            <w:r w:rsidRPr="00573629">
              <w:rPr>
                <w:rFonts w:cstheme="minorHAnsi"/>
                <w:bCs/>
                <w:sz w:val="20"/>
                <w:szCs w:val="20"/>
              </w:rPr>
              <w:t>NanoCurc</w:t>
            </w:r>
            <w:proofErr w:type="spellEnd"/>
            <w:r w:rsidRPr="00573629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53369B24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[8</w:t>
            </w:r>
            <w:r w:rsidRPr="00573629">
              <w:rPr>
                <w:rFonts w:cstheme="minorHAnsi"/>
                <w:bCs/>
                <w:sz w:val="20"/>
                <w:szCs w:val="20"/>
              </w:rPr>
              <w:t>4</w:t>
            </w:r>
            <w:r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70EAA8E3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8353A" w:rsidRPr="00573629" w14:paraId="263237BA" w14:textId="77777777" w:rsidTr="00B91428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51E622D" w14:textId="77777777" w:rsidR="0008353A" w:rsidRPr="00A10B40" w:rsidRDefault="0008353A" w:rsidP="00B91428">
            <w:pPr>
              <w:pStyle w:val="ListParagraph"/>
              <w:spacing w:after="0" w:line="240" w:lineRule="auto"/>
              <w:ind w:left="0" w:firstLine="37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A10B40">
              <w:rPr>
                <w:rFonts w:cstheme="minorHAnsi"/>
                <w:b w:val="0"/>
                <w:sz w:val="20"/>
                <w:szCs w:val="20"/>
              </w:rPr>
              <w:t>To determine the tolerability of carboplatin and doxorubicin administered by an intraductal route.</w:t>
            </w:r>
          </w:p>
        </w:tc>
        <w:tc>
          <w:tcPr>
            <w:tcW w:w="1984" w:type="dxa"/>
          </w:tcPr>
          <w:p w14:paraId="69A92200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 xml:space="preserve">Pegylated liposomal </w:t>
            </w:r>
          </w:p>
        </w:tc>
        <w:tc>
          <w:tcPr>
            <w:tcW w:w="1559" w:type="dxa"/>
          </w:tcPr>
          <w:p w14:paraId="188A490C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Carboplatin, doxorubicin</w:t>
            </w:r>
          </w:p>
        </w:tc>
        <w:tc>
          <w:tcPr>
            <w:tcW w:w="1985" w:type="dxa"/>
          </w:tcPr>
          <w:p w14:paraId="0C210C2E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Breast cancer women</w:t>
            </w:r>
          </w:p>
        </w:tc>
        <w:tc>
          <w:tcPr>
            <w:tcW w:w="5103" w:type="dxa"/>
          </w:tcPr>
          <w:p w14:paraId="6ADD0ABD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573629">
              <w:rPr>
                <w:rFonts w:cstheme="minorHAnsi"/>
                <w:bCs/>
                <w:sz w:val="20"/>
                <w:szCs w:val="20"/>
              </w:rPr>
              <w:t>Chemotherapeutic agents were generally well-tolerated, and the adverse effects observed in treating both chemotherapeutic agents were not considered severe.</w:t>
            </w:r>
          </w:p>
        </w:tc>
        <w:tc>
          <w:tcPr>
            <w:tcW w:w="1417" w:type="dxa"/>
          </w:tcPr>
          <w:p w14:paraId="3CF1E02F" w14:textId="77777777" w:rsidR="0008353A" w:rsidRPr="00573629" w:rsidRDefault="0008353A" w:rsidP="00B91428">
            <w:pPr>
              <w:pStyle w:val="ListParagraph"/>
              <w:spacing w:after="0" w:line="240" w:lineRule="auto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[8</w:t>
            </w:r>
            <w:r w:rsidRPr="00573629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>]</w:t>
            </w:r>
          </w:p>
        </w:tc>
      </w:tr>
    </w:tbl>
    <w:p w14:paraId="5B26EE67" w14:textId="77777777" w:rsidR="002F08DB" w:rsidRDefault="002F08DB"/>
    <w:sectPr w:rsidR="002F08DB" w:rsidSect="000835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3A"/>
    <w:rsid w:val="0008353A"/>
    <w:rsid w:val="002A0B38"/>
    <w:rsid w:val="002A6469"/>
    <w:rsid w:val="002F08DB"/>
    <w:rsid w:val="002F2EE5"/>
    <w:rsid w:val="004219DA"/>
    <w:rsid w:val="0051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B9E58"/>
  <w15:chartTrackingRefBased/>
  <w15:docId w15:val="{F0257976-0316-4D2A-A39E-E07FB658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53A"/>
    <w:pPr>
      <w:spacing w:after="0" w:line="240" w:lineRule="auto"/>
    </w:pPr>
    <w:rPr>
      <w:rFonts w:eastAsiaTheme="minorEastAsia"/>
      <w:sz w:val="24"/>
      <w:szCs w:val="24"/>
      <w:lang w:val="en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53A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table" w:styleId="PlainTable2">
    <w:name w:val="Plain Table 2"/>
    <w:basedOn w:val="TableNormal"/>
    <w:uiPriority w:val="42"/>
    <w:rsid w:val="0008353A"/>
    <w:pPr>
      <w:spacing w:after="0" w:line="240" w:lineRule="auto"/>
    </w:pPr>
    <w:rPr>
      <w:lang w:val="en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2</cp:revision>
  <dcterms:created xsi:type="dcterms:W3CDTF">2022-11-30T12:58:00Z</dcterms:created>
  <dcterms:modified xsi:type="dcterms:W3CDTF">2022-11-30T12:58:00Z</dcterms:modified>
</cp:coreProperties>
</file>