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B197" w14:textId="13468027" w:rsidR="00DA58AC" w:rsidRPr="00C2600D" w:rsidRDefault="00DA58AC" w:rsidP="00DA58AC">
      <w:pPr>
        <w:rPr>
          <w:rFonts w:ascii="Times New Roman" w:hAnsi="Times New Roman" w:cs="Times New Roman"/>
          <w:b/>
          <w:szCs w:val="21"/>
        </w:rPr>
      </w:pPr>
      <w:r w:rsidRPr="00C2600D">
        <w:rPr>
          <w:rFonts w:ascii="Times New Roman" w:hAnsi="Times New Roman" w:cs="Times New Roman"/>
          <w:b/>
          <w:szCs w:val="21"/>
        </w:rPr>
        <w:t xml:space="preserve">Table </w:t>
      </w:r>
      <w:r>
        <w:rPr>
          <w:rFonts w:ascii="Times New Roman" w:hAnsi="Times New Roman" w:cs="Times New Roman"/>
          <w:b/>
          <w:szCs w:val="21"/>
        </w:rPr>
        <w:t>S2</w:t>
      </w:r>
      <w:r w:rsidRPr="00C2600D">
        <w:rPr>
          <w:rFonts w:ascii="Times New Roman" w:hAnsi="Times New Roman" w:cs="Times New Roman"/>
          <w:b/>
          <w:szCs w:val="21"/>
        </w:rPr>
        <w:t xml:space="preserve">. </w:t>
      </w:r>
      <w:r>
        <w:rPr>
          <w:rFonts w:ascii="Times New Roman" w:hAnsi="Times New Roman" w:cs="Times New Roman"/>
          <w:b/>
          <w:szCs w:val="21"/>
        </w:rPr>
        <w:t>T</w:t>
      </w:r>
      <w:r w:rsidRPr="00DA58AC">
        <w:rPr>
          <w:rFonts w:ascii="Times New Roman" w:hAnsi="Times New Roman" w:cs="Times New Roman"/>
          <w:b/>
          <w:szCs w:val="21"/>
        </w:rPr>
        <w:t>op10 GO enrichment results</w:t>
      </w:r>
      <w:r>
        <w:rPr>
          <w:rFonts w:ascii="Times New Roman" w:hAnsi="Times New Roman" w:cs="Times New Roman"/>
          <w:b/>
          <w:szCs w:val="21"/>
        </w:rPr>
        <w:t>.</w:t>
      </w:r>
    </w:p>
    <w:tbl>
      <w:tblPr>
        <w:tblW w:w="9984" w:type="dxa"/>
        <w:tblInd w:w="-106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702"/>
        <w:gridCol w:w="4720"/>
        <w:gridCol w:w="1065"/>
        <w:gridCol w:w="1487"/>
      </w:tblGrid>
      <w:tr w:rsidR="00625341" w:rsidRPr="00DA58AC" w14:paraId="4250EA50" w14:textId="77777777" w:rsidTr="00DA58AC">
        <w:trPr>
          <w:trHeight w:val="280"/>
        </w:trPr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CB9A" w14:textId="718FFA57" w:rsidR="00625341" w:rsidRPr="00DA58AC" w:rsidRDefault="00625341" w:rsidP="0062534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Ontology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8274" w14:textId="77777777" w:rsidR="00625341" w:rsidRPr="00DA58AC" w:rsidRDefault="00625341" w:rsidP="0062534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ID</w:t>
            </w:r>
          </w:p>
        </w:tc>
        <w:tc>
          <w:tcPr>
            <w:tcW w:w="4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55C3" w14:textId="77777777" w:rsidR="00625341" w:rsidRPr="00DA58AC" w:rsidRDefault="00625341" w:rsidP="0062534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Description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E777" w14:textId="77777777" w:rsidR="00625341" w:rsidRPr="00DA58AC" w:rsidRDefault="00625341" w:rsidP="0062534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pvalue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A0F6" w14:textId="77777777" w:rsidR="00625341" w:rsidRPr="00DA58AC" w:rsidRDefault="00625341" w:rsidP="0062534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p.adjust</w:t>
            </w:r>
          </w:p>
        </w:tc>
      </w:tr>
      <w:tr w:rsidR="00625341" w:rsidRPr="00DA58AC" w14:paraId="099409A0" w14:textId="77777777" w:rsidTr="00DA58AC">
        <w:trPr>
          <w:trHeight w:val="280"/>
        </w:trPr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DD19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E05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GO:0031331</w:t>
            </w:r>
          </w:p>
        </w:tc>
        <w:tc>
          <w:tcPr>
            <w:tcW w:w="4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8F1F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 regulation of cellular catabolic process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7B77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1.20E-09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70F5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4.32E-06</w:t>
            </w:r>
          </w:p>
        </w:tc>
      </w:tr>
      <w:tr w:rsidR="00625341" w:rsidRPr="00DA58AC" w14:paraId="77C0F543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F41EF75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6F8C150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GO:0034248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6C105A6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regulation of cellular amide metabolic process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4A68202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1.79E-09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17A6DEE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4.32E-06</w:t>
            </w:r>
          </w:p>
        </w:tc>
      </w:tr>
      <w:tr w:rsidR="00625341" w:rsidRPr="00DA58AC" w14:paraId="32A5243F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08E0CE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49162E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GO:0009896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788C8DE9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 regulation of catabolic process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432D1AD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2.41E-09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46C1D19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4.32E-06</w:t>
            </w:r>
          </w:p>
        </w:tc>
      </w:tr>
      <w:tr w:rsidR="00625341" w:rsidRPr="00DA58AC" w14:paraId="60A25D14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46C4867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9223DC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GO:0001701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41A8FB7F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in utero embryonic development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0AC508D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7.01E-09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43EFC697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8.91E-06</w:t>
            </w:r>
          </w:p>
        </w:tc>
      </w:tr>
      <w:tr w:rsidR="00625341" w:rsidRPr="00DA58AC" w14:paraId="35EFF394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FD9BA6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6ED00D9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GO:0060537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3EA5C7A6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muscle tissue development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8E8FFE5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8.28E-09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1DADF72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8.91E-06</w:t>
            </w:r>
          </w:p>
        </w:tc>
      </w:tr>
      <w:tr w:rsidR="00625341" w:rsidRPr="00DA58AC" w14:paraId="306462D9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1604F2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6C8811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GO:1903829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050C98D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 regulation of cellular protein localization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4F4F0E0C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1.09E-08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26DABBD3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9.80E-06</w:t>
            </w:r>
          </w:p>
        </w:tc>
      </w:tr>
      <w:tr w:rsidR="00625341" w:rsidRPr="00DA58AC" w14:paraId="33B3CDE8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630E677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6D062F9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GO:0051098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215C447E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regulation of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6BBC55D6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1.85E-08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335D832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1.42E-05</w:t>
            </w:r>
          </w:p>
        </w:tc>
      </w:tr>
      <w:tr w:rsidR="00625341" w:rsidRPr="00DA58AC" w14:paraId="37A603E4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3EF0BA9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49F05B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GO:0007050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73AB4DF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cell cycle arrest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0DD9F83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5.84E-08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7E12F09F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3.54E-05</w:t>
            </w:r>
          </w:p>
        </w:tc>
      </w:tr>
      <w:tr w:rsidR="00625341" w:rsidRPr="00DA58AC" w14:paraId="6C2BEB78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6F00CAE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2235AA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GO:0010720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5159CB27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 regulation of cell development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CD37533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5.93E-08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57442428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3.54E-05</w:t>
            </w:r>
          </w:p>
        </w:tc>
      </w:tr>
      <w:tr w:rsidR="00625341" w:rsidRPr="00DA58AC" w14:paraId="391A4A9C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BF54BB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BP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3C674FED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GO:0016049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62720ED6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cell growth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4CB01C7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7.25E-08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1B41746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3.90E-05</w:t>
            </w:r>
          </w:p>
        </w:tc>
      </w:tr>
      <w:tr w:rsidR="00625341" w:rsidRPr="00DA58AC" w14:paraId="6C24BC8D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0AD244E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D5691D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GO:0031519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0D24AB5D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PcG protein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2CEB73F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9.69E-08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5F58C905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5.97E-05</w:t>
            </w:r>
          </w:p>
        </w:tc>
      </w:tr>
      <w:tr w:rsidR="00625341" w:rsidRPr="00DA58AC" w14:paraId="258F5BA7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862511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ECE313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GO:0000151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574375A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ubiquitin ligase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20583F9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8.40E-07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8A4CE69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0.000259</w:t>
            </w:r>
          </w:p>
        </w:tc>
      </w:tr>
      <w:tr w:rsidR="00625341" w:rsidRPr="00DA58AC" w14:paraId="78D1B22E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7BBD06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B37359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GO:0005667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200EEB5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transcription regulator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76674FD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1.72E-06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0A303B3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0.000297</w:t>
            </w:r>
          </w:p>
        </w:tc>
      </w:tr>
      <w:tr w:rsidR="00625341" w:rsidRPr="00DA58AC" w14:paraId="27EA1337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FAD8BD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FDA9E2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GO:0061695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60F14ED3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transferase complex, transferring phosphorus-containing groups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2469D1A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2.15E-06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0A9C440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0.000297</w:t>
            </w:r>
          </w:p>
        </w:tc>
      </w:tr>
      <w:tr w:rsidR="00625341" w:rsidRPr="00DA58AC" w14:paraId="25DE850C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9EFDC93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61EDEB1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GO:1902911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7F5FA1B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protein kinase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12CC190A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2.41E-06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AE95E96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0.000297</w:t>
            </w:r>
          </w:p>
        </w:tc>
      </w:tr>
      <w:tr w:rsidR="00625341" w:rsidRPr="00DA58AC" w14:paraId="2CB260A3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4A2EE0E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99380F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GO:0035097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0AC7D44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histone methyltransferase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2F26AEDC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1.22E-05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7A0F015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0.00125</w:t>
            </w:r>
          </w:p>
        </w:tc>
      </w:tr>
      <w:tr w:rsidR="00625341" w:rsidRPr="00DA58AC" w14:paraId="65CCE603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232096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649EC8F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GO:0001650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3A90C02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fibrillar center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E28DE9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1.63E-05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60EFAD01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0.001409</w:t>
            </w:r>
          </w:p>
        </w:tc>
      </w:tr>
      <w:tr w:rsidR="00625341" w:rsidRPr="00DA58AC" w14:paraId="74442201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0A0FB7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3ADB360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GO:1902554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06B3AC4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serine/threonine protein kinase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35E575B7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1.83E-05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EE1B75C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0.001409</w:t>
            </w:r>
          </w:p>
        </w:tc>
      </w:tr>
      <w:tr w:rsidR="00625341" w:rsidRPr="00DA58AC" w14:paraId="093944CB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4D97B8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6657503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GO:0017053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0D46D52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transcription repressor complex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16AE8B7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3.34E-05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2D6EA83F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0.002118</w:t>
            </w:r>
          </w:p>
        </w:tc>
      </w:tr>
      <w:tr w:rsidR="00625341" w:rsidRPr="00DA58AC" w14:paraId="6E7DEFE2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510D34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CC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186E34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GO:0072686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4EC8E39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mitotic spindle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0BD013CA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3.44E-05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4893F07E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0.002118</w:t>
            </w:r>
          </w:p>
        </w:tc>
      </w:tr>
      <w:tr w:rsidR="00625341" w:rsidRPr="00DA58AC" w14:paraId="29F1F4D9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0689055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67607F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GO:0031625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291D392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ubiquitin protein ligase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612712BE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3.41E-09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3306E0FC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3.14E-06</w:t>
            </w:r>
          </w:p>
        </w:tc>
      </w:tr>
      <w:tr w:rsidR="00625341" w:rsidRPr="00DA58AC" w14:paraId="1B86A54F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24ADF6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D686F1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GO:0044389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3A79CF6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ubiquitin-like protein ligase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6E17197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8.16E-09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0738725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3.76E-06</w:t>
            </w:r>
          </w:p>
        </w:tc>
      </w:tr>
      <w:tr w:rsidR="00625341" w:rsidRPr="00DA58AC" w14:paraId="7D4BDDC6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780824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381352B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GO:0046332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5859C7D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SMAD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07538EBF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4.09E-08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2B97E57E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1.26E-05</w:t>
            </w:r>
          </w:p>
        </w:tc>
      </w:tr>
      <w:tr w:rsidR="00625341" w:rsidRPr="00DA58AC" w14:paraId="7003F4F0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287EE50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13CE56C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GO:0004674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6DE47A8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protein serine/threonine kinase activity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13D12CF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5.32E-07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4F078EF4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0.000105</w:t>
            </w:r>
          </w:p>
        </w:tc>
      </w:tr>
      <w:tr w:rsidR="00625341" w:rsidRPr="00DA58AC" w14:paraId="16066C79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2D89445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9BD094A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GO:0001228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541A16C7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DNA-binding transcription activator activity, RNA polymerase II-specific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07E8A14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5.68E-07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02807B4A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0.000105</w:t>
            </w:r>
          </w:p>
        </w:tc>
      </w:tr>
      <w:tr w:rsidR="00625341" w:rsidRPr="00DA58AC" w14:paraId="32D28DC3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F7C265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8D7B3EB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GO:0001216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761E0FD1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DNA-binding transcription activator activity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A51AFC5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7.48E-07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2AD119AB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0.000115</w:t>
            </w:r>
          </w:p>
        </w:tc>
      </w:tr>
      <w:tr w:rsidR="00625341" w:rsidRPr="00DA58AC" w14:paraId="530FBBAB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295471C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3D5CBC6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GO:0008013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7BF73328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beta-catenin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57289A1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4.87E-06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2616C852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0.000567</w:t>
            </w:r>
          </w:p>
        </w:tc>
      </w:tr>
      <w:tr w:rsidR="00625341" w:rsidRPr="00DA58AC" w14:paraId="4C3799CF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D9F6CB5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081A309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GO:0061629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6FC6428E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RNA polymerase II-specific DNA-binding transcription factor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23F4228C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4.93E-06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67DE0A22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0.000567</w:t>
            </w:r>
          </w:p>
        </w:tc>
      </w:tr>
      <w:tr w:rsidR="00625341" w:rsidRPr="00DA58AC" w14:paraId="5E319C9D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C1483C7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0A101A26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GO:0043021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26C7E7C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ribonucleoprotein complex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E131A60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6.56E-06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1DE7BC5A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0.000672</w:t>
            </w:r>
          </w:p>
        </w:tc>
      </w:tr>
      <w:tr w:rsidR="00625341" w:rsidRPr="00DA58AC" w14:paraId="5480EB6C" w14:textId="77777777" w:rsidTr="00DA58AC">
        <w:trPr>
          <w:trHeight w:val="280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30521DA9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MF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948A214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GO:0048185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14:paraId="527EB042" w14:textId="77777777" w:rsidR="00625341" w:rsidRPr="00DA58AC" w:rsidRDefault="00625341" w:rsidP="0062534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activin binding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613CA965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8.11E-06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6F3B643A" w14:textId="77777777" w:rsidR="00625341" w:rsidRPr="00DA58AC" w:rsidRDefault="00625341" w:rsidP="00625341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A58AC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0.000747</w:t>
            </w:r>
          </w:p>
        </w:tc>
      </w:tr>
    </w:tbl>
    <w:p w14:paraId="66382A9C" w14:textId="77777777" w:rsidR="00BF185D" w:rsidRPr="00DA58AC" w:rsidRDefault="00BF185D">
      <w:pPr>
        <w:rPr>
          <w:rFonts w:ascii="Times New Roman" w:hAnsi="Times New Roman" w:cs="Times New Roman"/>
          <w:szCs w:val="21"/>
        </w:rPr>
      </w:pPr>
    </w:p>
    <w:sectPr w:rsidR="00BF185D" w:rsidRPr="00DA5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DADF" w14:textId="77777777" w:rsidR="00626A5B" w:rsidRDefault="00626A5B" w:rsidP="00625341">
      <w:r>
        <w:separator/>
      </w:r>
    </w:p>
  </w:endnote>
  <w:endnote w:type="continuationSeparator" w:id="0">
    <w:p w14:paraId="5ED5A461" w14:textId="77777777" w:rsidR="00626A5B" w:rsidRDefault="00626A5B" w:rsidP="0062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EDEB" w14:textId="77777777" w:rsidR="00626A5B" w:rsidRDefault="00626A5B" w:rsidP="00625341">
      <w:r>
        <w:separator/>
      </w:r>
    </w:p>
  </w:footnote>
  <w:footnote w:type="continuationSeparator" w:id="0">
    <w:p w14:paraId="1FBF36DC" w14:textId="77777777" w:rsidR="00626A5B" w:rsidRDefault="00626A5B" w:rsidP="00625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833"/>
    <w:rsid w:val="00625341"/>
    <w:rsid w:val="00626A5B"/>
    <w:rsid w:val="00717AB8"/>
    <w:rsid w:val="00BF185D"/>
    <w:rsid w:val="00C76833"/>
    <w:rsid w:val="00DA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46FFA0"/>
  <w15:chartTrackingRefBased/>
  <w15:docId w15:val="{859DD6A1-945F-4F6B-8A40-354AA985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53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5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5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2022-12-11T08:35:00Z</dcterms:created>
  <dcterms:modified xsi:type="dcterms:W3CDTF">2022-12-12T11:47:00Z</dcterms:modified>
</cp:coreProperties>
</file>