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hanging="720" w:hangingChars="300"/>
        <w:jc w:val="center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en-US"/>
        </w:rPr>
        <w:t>Table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1 Introduction of the included studies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. SCLC, small cell lung cancer; NSCLC, non-small cell lung cancer; HNSCC, head and neck squamous cell cancer; PD-1, programmed death 1; PD-L1, programmed death-ligand 1; CTLA-4, cytotoxic T-lymphocyte-associated antigen 4; SoC, standard of care; ECOG PS, eastern cooperative oncology group performance status; TC, tumor cells; CPS, combined positive score.</w:t>
      </w:r>
    </w:p>
    <w:p>
      <w:pPr>
        <w:rPr>
          <w:color w:val="auto"/>
          <w:szCs w:val="21"/>
          <w:highlight w:val="none"/>
        </w:rPr>
      </w:pPr>
    </w:p>
    <w:tbl>
      <w:tblPr>
        <w:tblStyle w:val="4"/>
        <w:tblpPr w:leftFromText="180" w:rightFromText="180" w:vertAnchor="text" w:tblpX="1" w:tblpY="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094"/>
        <w:gridCol w:w="495"/>
        <w:gridCol w:w="1095"/>
        <w:gridCol w:w="381"/>
        <w:gridCol w:w="409"/>
        <w:gridCol w:w="407"/>
        <w:gridCol w:w="604"/>
        <w:gridCol w:w="409"/>
        <w:gridCol w:w="407"/>
        <w:gridCol w:w="604"/>
        <w:gridCol w:w="1095"/>
        <w:gridCol w:w="381"/>
        <w:gridCol w:w="589"/>
        <w:gridCol w:w="588"/>
        <w:gridCol w:w="379"/>
        <w:gridCol w:w="379"/>
        <w:gridCol w:w="7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Reference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ind w:left="-40" w:leftChars="-19" w:firstLine="27" w:firstLineChars="18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Median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(range)</w:t>
            </w:r>
          </w:p>
          <w:p>
            <w:pPr>
              <w:ind w:left="-40" w:leftChars="-19" w:firstLine="27" w:firstLineChars="18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Age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(years)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Males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%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Tumor P</w:t>
            </w:r>
            <w:bookmarkStart w:id="0" w:name="OLE_LINK13"/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L1 expre</w:t>
            </w:r>
            <w:bookmarkEnd w:id="0"/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ssion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Never s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mokers</w:t>
            </w:r>
          </w:p>
          <w:p>
            <w:pPr>
              <w:jc w:val="center"/>
              <w:rPr>
                <w:rFonts w:hint="default" w:ascii="Times New Roman" w:hAnsi="Times New Roman" w:eastAsia="等线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gridSpan w:val="4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ECOG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PS</w:t>
            </w:r>
          </w:p>
        </w:tc>
        <w:tc>
          <w:tcPr>
            <w:tcW w:w="1308" w:type="dxa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Note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PD-1/PD-L1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+CTLA-4 inhibitors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15"/>
                <w:szCs w:val="15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SoC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  <w:highlight w:val="none"/>
                <w:lang w:val="en-GB" w:eastAsia="zh-CN" w:bidi="ar-SA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PD-1/PD-L1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+CTLA-4 inhibitors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SoC</w:t>
            </w:r>
          </w:p>
        </w:tc>
        <w:tc>
          <w:tcPr>
            <w:tcW w:w="0" w:type="auto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PD-1/PD-L1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+CTLA-4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inhibitors</w:t>
            </w:r>
          </w:p>
        </w:tc>
        <w:tc>
          <w:tcPr>
            <w:tcW w:w="0" w:type="auto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SoC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000000"/>
                <w:sz w:val="15"/>
                <w:szCs w:val="15"/>
                <w:highlight w:val="none"/>
                <w:lang w:val="en-GB" w:eastAsia="zh-CN" w:bidi="ar-SA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PD-1/PD-L1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+CTLA-4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inhibitors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15"/>
                <w:szCs w:val="15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SoC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PD-1/PD-L1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+CTLA-4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inhibitors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  <w:t>SoC</w:t>
            </w:r>
          </w:p>
        </w:tc>
        <w:tc>
          <w:tcPr>
            <w:tcW w:w="130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&lt;1%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≥1%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Unknown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&lt;1%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  <w:t>≥1%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Unknown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0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1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0</w:t>
            </w:r>
          </w:p>
          <w:p>
            <w:pPr>
              <w:jc w:val="center"/>
              <w:rPr>
                <w:rFonts w:hint="default" w:ascii="Times New Roman" w:hAnsi="Times New Roman" w:eastAsia="等线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0" w:type="auto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5"/>
                <w:szCs w:val="15"/>
                <w:highlight w:val="none"/>
              </w:rPr>
              <w:t>1</w:t>
            </w:r>
          </w:p>
          <w:p>
            <w:pPr>
              <w:jc w:val="center"/>
              <w:rPr>
                <w:rFonts w:hint="default" w:ascii="Times New Roman" w:hAnsi="Times New Roman" w:eastAsia="等线" w:cs="Times New Roman"/>
                <w:b/>
                <w:bCs/>
                <w:color w:val="000000"/>
                <w:sz w:val="15"/>
                <w:szCs w:val="15"/>
                <w:highlight w:val="none"/>
                <w:lang w:val="en-GB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  <w:t>(%)</w:t>
            </w:r>
          </w:p>
        </w:tc>
        <w:tc>
          <w:tcPr>
            <w:tcW w:w="1308" w:type="dxa"/>
            <w:vMerge w:val="continue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15"/>
                <w:szCs w:val="15"/>
                <w:highlight w:val="none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0" w:type="auto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Baas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GB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69 (65-75)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69 (62-75)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77.2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77.2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18.8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76.6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4.6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25.8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72.5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41.9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40.4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37.6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62.4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42.4</w:t>
            </w:r>
          </w:p>
        </w:tc>
        <w:tc>
          <w:tcPr>
            <w:tcW w:w="0" w:type="auto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57.3</w:t>
            </w:r>
          </w:p>
        </w:tc>
        <w:tc>
          <w:tcPr>
            <w:tcW w:w="1308" w:type="dxa"/>
            <w:vMerge w:val="restart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eastAsia="zh-CN"/>
              </w:rPr>
              <w:t>Peters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2021</w:t>
            </w: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30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</w:rPr>
              <w:t>Doki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63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(28-81)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(26-81)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82.8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84.9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51.4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48.6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51.5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48.5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17.5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21.0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46.5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53.5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47.5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52.5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</w:rPr>
              <w:t>Goldman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63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(58-68)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63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(57-68)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75.4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40.7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59.3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33.5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66.5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No requirements concerning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PD-L1 expression at study entry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Hellmann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2019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(26-87)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(29-87)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67.4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32.1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67.9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31.9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13.6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13.4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35.0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32.8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66.2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Motzer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2018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62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(26-85)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(21-85)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73.9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71.3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23.6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9.6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27.0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intermediate- and poor-risk patients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Paz-Ares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2021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(59-70)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(58-70)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69.8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70.4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37.4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56.2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36.0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57.0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12.7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14.5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31.3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31.3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68.4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Powles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(60-73)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(60-73)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74.9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79.7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28.7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29.4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55.3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44.4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54.9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44.8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60% patients PD-L1 TC ≥25%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GB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GB" w:eastAsia="zh-CN" w:bidi="ar-SA"/>
              </w:rPr>
              <w:t>Rizvi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2020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(34-87)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(35-85)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72.4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20.4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79.6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22.3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77.7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15.3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13.0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39.9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60.1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43.2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56.2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Owonikoko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 (39-85)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 (44-84)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63.6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7.2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39.8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60.2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37.5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62.5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47.0% patients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PD-L1 CPS ≥1%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Chen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 (39-87)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64 (36-85)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NA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72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Ferris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 </w:t>
            </w: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(23-81)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(22-82)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84.6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83.1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28.3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71.7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28.5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71.5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22.7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21.3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25.9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74.1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31.7</w:t>
            </w:r>
          </w:p>
        </w:tc>
        <w:tc>
          <w:tcPr>
            <w:tcW w:w="0" w:type="auto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68.3</w:t>
            </w:r>
          </w:p>
        </w:tc>
        <w:tc>
          <w:tcPr>
            <w:tcW w:w="130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Planchard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 xml:space="preserve"> et al.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2020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63 (26-81)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65 (42-83)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66.1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68.6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41.4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58.6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49.2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50.8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20.1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17.8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33.3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66.7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33.9</w:t>
            </w:r>
          </w:p>
        </w:tc>
        <w:tc>
          <w:tcPr>
            <w:tcW w:w="0" w:type="auto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66.1</w:t>
            </w:r>
          </w:p>
        </w:tc>
        <w:tc>
          <w:tcPr>
            <w:tcW w:w="1308" w:type="dxa"/>
            <w:tcBorders>
              <w:bottom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5"/>
                <w:szCs w:val="15"/>
                <w:highlight w:val="none"/>
                <w:lang w:val="en-US" w:eastAsia="zh-CN"/>
              </w:rPr>
              <w:t>All patients PD-L1 TC &lt;25%</w:t>
            </w:r>
          </w:p>
        </w:tc>
      </w:tr>
    </w:tbl>
    <w:p>
      <w:pP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S2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 Summarize of OS in subgroups of patients with different clinical features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 xml:space="preserve">. </w:t>
      </w:r>
      <w:bookmarkStart w:id="1" w:name="_GoBack"/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N+I, nivolumab plus ipilimumab; D+T, durvalumab plus tremelimumab; PD-L1, programmed death-ligand 1; OS, overall survival; No, number; HR, hazard ratio; CI, confidence interval; TC, tumor cells; PS, performance status.</w:t>
      </w:r>
    </w:p>
    <w:bookmarkEnd w:id="1"/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315"/>
        <w:gridCol w:w="752"/>
        <w:gridCol w:w="688"/>
        <w:gridCol w:w="1063"/>
        <w:gridCol w:w="1195"/>
        <w:gridCol w:w="742"/>
        <w:gridCol w:w="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Population</w:t>
            </w:r>
          </w:p>
        </w:tc>
        <w:tc>
          <w:tcPr>
            <w:tcW w:w="131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Subgroup</w:t>
            </w:r>
          </w:p>
        </w:tc>
        <w:tc>
          <w:tcPr>
            <w:tcW w:w="752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No. of studies</w:t>
            </w:r>
          </w:p>
        </w:tc>
        <w:tc>
          <w:tcPr>
            <w:tcW w:w="2946" w:type="dxa"/>
            <w:gridSpan w:val="3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Test of association</w:t>
            </w:r>
          </w:p>
        </w:tc>
        <w:tc>
          <w:tcPr>
            <w:tcW w:w="1551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Test of heterogeneity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52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HR</w:t>
            </w:r>
          </w:p>
        </w:tc>
        <w:tc>
          <w:tcPr>
            <w:tcW w:w="106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95%CI</w:t>
            </w:r>
          </w:p>
        </w:tc>
        <w:tc>
          <w:tcPr>
            <w:tcW w:w="119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i/>
                <w:color w:val="auto"/>
                <w:sz w:val="18"/>
                <w:szCs w:val="18"/>
                <w:highlight w:val="none"/>
                <w:lang w:eastAsia="zh-CN"/>
              </w:rPr>
              <w:t xml:space="preserve">p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value</w:t>
            </w:r>
          </w:p>
        </w:tc>
        <w:tc>
          <w:tcPr>
            <w:tcW w:w="74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i/>
                <w:color w:val="auto"/>
                <w:sz w:val="18"/>
                <w:szCs w:val="18"/>
                <w:highlight w:val="none"/>
                <w:lang w:eastAsia="zh-CN"/>
              </w:rPr>
              <w:t xml:space="preserve">p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Aged &lt;65 years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0.63-0.78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0.72-0.94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0.003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37%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Aged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≥65 years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Aged 65-74 years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0.62-0.82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Aged ≥75 years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Female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Male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0.67-0.79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36%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0.87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0.78-0.97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0.010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PS 0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0.75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0.60-0.94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62%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0.77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0.66-0.91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0.002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PS 1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0.77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0.70-0.84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Active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or previous s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mo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ker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0.63-0.77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0.81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0.69-0.96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Never smoker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liver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Without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liver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0.71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0.64-0.79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0.71-0.96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brain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0.30-0.83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0.007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63%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Without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brain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0.75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0.67-0.84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0.81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0.66-0.98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bone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0.59-0.84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Without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bone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metastases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0.62-0.79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Asian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White population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0.81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0.66-0.98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PD-L1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expression on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&lt;1%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of TC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0.76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0.63-0.93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0.007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58%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D+T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0.76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0.61-0.94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37%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PD-L1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expression on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≥1%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of TC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0.69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0.62-0.77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&lt;0.00001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31%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PD-L1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expression on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≥1%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and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>&lt;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50% of TC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PD-L1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expression on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  <w:t xml:space="preserve"> ≥50%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of TC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0.69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0.56-0.85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0.0006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Low tumor mutational burden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0.80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0.67-0.95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0.010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34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High tumor mutational burden</w:t>
            </w:r>
          </w:p>
        </w:tc>
        <w:tc>
          <w:tcPr>
            <w:tcW w:w="131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N+I</w:t>
            </w:r>
          </w:p>
        </w:tc>
        <w:tc>
          <w:tcPr>
            <w:tcW w:w="75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0.72</w:t>
            </w:r>
          </w:p>
        </w:tc>
        <w:tc>
          <w:tcPr>
            <w:tcW w:w="1063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0.59-0.88</w:t>
            </w:r>
          </w:p>
        </w:tc>
        <w:tc>
          <w:tcPr>
            <w:tcW w:w="119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0.001</w:t>
            </w:r>
          </w:p>
        </w:tc>
        <w:tc>
          <w:tcPr>
            <w:tcW w:w="74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809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0.81</w:t>
            </w:r>
          </w:p>
        </w:tc>
      </w:tr>
    </w:tbl>
    <w:p/>
    <w:sectPr>
      <w:headerReference r:id="rId4" w:type="first"/>
      <w:footerReference r:id="rId6" w:type="first"/>
      <w:headerReference r:id="rId3" w:type="even"/>
      <w:footerReference r:id="rId5" w:type="even"/>
      <w:pgSz w:w="11905" w:h="16838"/>
      <w:pgMar w:top="266" w:right="720" w:bottom="380" w:left="720" w:header="0" w:footer="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YmRlOTAyZTI0NWFmMzlkMTYzMDNmMWYyMDQ1YjIifQ=="/>
    <w:docVar w:name="KY_MEDREF_DOCUID" w:val="{4720001C-B97F-4A23-847A-7120F5E9048F}"/>
    <w:docVar w:name="KY_MEDREF_VERSION" w:val="3"/>
  </w:docVars>
  <w:rsids>
    <w:rsidRoot w:val="00000000"/>
    <w:rsid w:val="15F424BF"/>
    <w:rsid w:val="26E10197"/>
    <w:rsid w:val="28054216"/>
    <w:rsid w:val="3480768A"/>
    <w:rsid w:val="367E5253"/>
    <w:rsid w:val="4D7E0A75"/>
    <w:rsid w:val="562768D0"/>
    <w:rsid w:val="5EBC2507"/>
    <w:rsid w:val="6B5164E1"/>
    <w:rsid w:val="6E2E7E8E"/>
    <w:rsid w:val="7C440532"/>
    <w:rsid w:val="7DCD6994"/>
    <w:rsid w:val="7DD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764</Words>
  <Characters>3251</Characters>
  <Lines>0</Lines>
  <Paragraphs>0</Paragraphs>
  <TotalTime>12</TotalTime>
  <ScaleCrop>false</ScaleCrop>
  <LinksUpToDate>false</LinksUpToDate>
  <CharactersWithSpaces>3466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2021-12-27T07:30:00Z</dcterms:created>
  <dc:creator>Administrator</dc:creator>
  <cp:lastModifiedBy>A</cp:lastModifiedBy>
  <dcterms:modified xsi:type="dcterms:W3CDTF">2022-12-10T13:16:35Z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42D690C5650A4F8E8053CCD74ADEA358</vt:lpwstr>
  </property>
</Properties>
</file>