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20C9" w14:textId="0BD19585" w:rsidR="008C3770" w:rsidRPr="00090262" w:rsidRDefault="007A37FC" w:rsidP="00AB6966">
      <w:pPr>
        <w:pStyle w:val="Heading1"/>
        <w:jc w:val="both"/>
        <w:rPr>
          <w:b w:val="0"/>
          <w:bCs w:val="0"/>
          <w:sz w:val="24"/>
          <w:szCs w:val="24"/>
        </w:rPr>
      </w:pPr>
      <w:r>
        <w:rPr>
          <w:sz w:val="24"/>
          <w:szCs w:val="24"/>
        </w:rPr>
        <w:t xml:space="preserve">Supplementary </w:t>
      </w:r>
      <w:r w:rsidR="00091CEE" w:rsidRPr="00091CEE">
        <w:rPr>
          <w:sz w:val="24"/>
          <w:szCs w:val="24"/>
        </w:rPr>
        <w:t>Table</w:t>
      </w:r>
      <w:r w:rsidR="006D0896">
        <w:rPr>
          <w:sz w:val="24"/>
          <w:szCs w:val="24"/>
        </w:rPr>
        <w:t xml:space="preserve"> 2</w:t>
      </w:r>
      <w:r w:rsidR="00091CEE" w:rsidRPr="00091CEE">
        <w:rPr>
          <w:sz w:val="24"/>
          <w:szCs w:val="24"/>
        </w:rPr>
        <w:t>.</w:t>
      </w:r>
      <w:r w:rsidR="00091CEE">
        <w:rPr>
          <w:b w:val="0"/>
          <w:bCs w:val="0"/>
          <w:sz w:val="24"/>
          <w:szCs w:val="24"/>
        </w:rPr>
        <w:t xml:space="preserve"> </w:t>
      </w:r>
      <w:r w:rsidR="008C3770" w:rsidRPr="00090262">
        <w:rPr>
          <w:b w:val="0"/>
          <w:bCs w:val="0"/>
          <w:sz w:val="24"/>
          <w:szCs w:val="24"/>
        </w:rPr>
        <w:t xml:space="preserve">There are six trials </w:t>
      </w:r>
      <w:r w:rsidR="00ED0473" w:rsidRPr="00090262">
        <w:rPr>
          <w:b w:val="0"/>
          <w:bCs w:val="0"/>
          <w:sz w:val="24"/>
          <w:szCs w:val="24"/>
        </w:rPr>
        <w:t>c</w:t>
      </w:r>
      <w:r w:rsidR="008C3770" w:rsidRPr="00090262">
        <w:rPr>
          <w:b w:val="0"/>
          <w:bCs w:val="0"/>
          <w:sz w:val="24"/>
          <w:szCs w:val="24"/>
        </w:rPr>
        <w:t xml:space="preserve">omparing </w:t>
      </w:r>
      <w:r w:rsidR="00ED0473" w:rsidRPr="00090262">
        <w:rPr>
          <w:b w:val="0"/>
          <w:bCs w:val="0"/>
          <w:sz w:val="24"/>
          <w:szCs w:val="24"/>
        </w:rPr>
        <w:t>effect of various</w:t>
      </w:r>
      <w:r w:rsidR="008C3770" w:rsidRPr="00090262">
        <w:rPr>
          <w:b w:val="0"/>
          <w:bCs w:val="0"/>
          <w:sz w:val="24"/>
          <w:szCs w:val="24"/>
        </w:rPr>
        <w:t xml:space="preserve"> </w:t>
      </w:r>
      <w:r w:rsidR="00ED0473" w:rsidRPr="00090262">
        <w:rPr>
          <w:b w:val="0"/>
          <w:bCs w:val="0"/>
          <w:sz w:val="24"/>
          <w:szCs w:val="24"/>
        </w:rPr>
        <w:t>s</w:t>
      </w:r>
      <w:r w:rsidR="008C3770" w:rsidRPr="00090262">
        <w:rPr>
          <w:b w:val="0"/>
          <w:bCs w:val="0"/>
          <w:sz w:val="24"/>
          <w:szCs w:val="24"/>
        </w:rPr>
        <w:t>trains of BCG</w:t>
      </w:r>
      <w:r w:rsidR="00ED0473" w:rsidRPr="00090262">
        <w:rPr>
          <w:b w:val="0"/>
          <w:bCs w:val="0"/>
          <w:sz w:val="24"/>
          <w:szCs w:val="24"/>
        </w:rPr>
        <w:t xml:space="preserve"> including: BCG-Japan, BCG-Russia,</w:t>
      </w:r>
      <w:r w:rsidR="00AB6966" w:rsidRPr="00090262">
        <w:rPr>
          <w:b w:val="0"/>
          <w:bCs w:val="0"/>
          <w:sz w:val="24"/>
          <w:szCs w:val="24"/>
        </w:rPr>
        <w:t xml:space="preserve"> BCG-Russia-I (Serum Institute of India),</w:t>
      </w:r>
      <w:r w:rsidR="00ED0473" w:rsidRPr="00090262">
        <w:rPr>
          <w:b w:val="0"/>
          <w:bCs w:val="0"/>
          <w:sz w:val="24"/>
          <w:szCs w:val="24"/>
        </w:rPr>
        <w:t xml:space="preserve"> BCG-Denmark 1331, </w:t>
      </w:r>
      <w:r w:rsidR="00AB6966" w:rsidRPr="00090262">
        <w:rPr>
          <w:b w:val="0"/>
          <w:bCs w:val="0"/>
          <w:sz w:val="24"/>
          <w:szCs w:val="24"/>
        </w:rPr>
        <w:t>BCG-Tice, BCG- Connaught, BCG-Tokyo-172, BCG-Denmark culture (SSI),</w:t>
      </w:r>
      <w:r w:rsidR="00ED0473" w:rsidRPr="00090262">
        <w:rPr>
          <w:b w:val="0"/>
          <w:bCs w:val="0"/>
          <w:sz w:val="24"/>
          <w:szCs w:val="24"/>
        </w:rPr>
        <w:t xml:space="preserve"> on Heterologous Immunity, </w:t>
      </w:r>
      <w:r w:rsidR="00ED0473" w:rsidRPr="00ED0473">
        <w:rPr>
          <w:b w:val="0"/>
          <w:bCs w:val="0"/>
          <w:sz w:val="24"/>
          <w:szCs w:val="24"/>
        </w:rPr>
        <w:t>Infant Morbidity</w:t>
      </w:r>
      <w:r w:rsidR="00ED0473" w:rsidRPr="00090262">
        <w:rPr>
          <w:b w:val="0"/>
          <w:bCs w:val="0"/>
          <w:sz w:val="24"/>
          <w:szCs w:val="24"/>
        </w:rPr>
        <w:t>, Infant Mortality, Trained Immunity, Vaccine Reaction,</w:t>
      </w:r>
      <w:r w:rsidR="00ED0473" w:rsidRPr="00090262">
        <w:rPr>
          <w:rFonts w:asciiTheme="minorHAnsi" w:eastAsiaTheme="minorHAnsi" w:hAnsiTheme="minorHAnsi" w:cstheme="minorBidi"/>
          <w:b w:val="0"/>
          <w:bCs w:val="0"/>
          <w:kern w:val="0"/>
          <w:sz w:val="24"/>
          <w:szCs w:val="24"/>
        </w:rPr>
        <w:t xml:space="preserve"> </w:t>
      </w:r>
      <w:r w:rsidR="00091CEE">
        <w:rPr>
          <w:rFonts w:asciiTheme="minorHAnsi" w:eastAsiaTheme="minorHAnsi" w:hAnsiTheme="minorHAnsi" w:cstheme="minorBidi"/>
          <w:b w:val="0"/>
          <w:bCs w:val="0"/>
          <w:kern w:val="0"/>
          <w:sz w:val="24"/>
          <w:szCs w:val="24"/>
        </w:rPr>
        <w:t xml:space="preserve">and </w:t>
      </w:r>
      <w:r w:rsidR="00ED0473" w:rsidRPr="00090262">
        <w:rPr>
          <w:b w:val="0"/>
          <w:bCs w:val="0"/>
          <w:sz w:val="24"/>
          <w:szCs w:val="24"/>
        </w:rPr>
        <w:t>Bladder Urothelial Carcinoma.</w:t>
      </w:r>
    </w:p>
    <w:tbl>
      <w:tblPr>
        <w:tblStyle w:val="PlainTable1"/>
        <w:tblW w:w="0" w:type="auto"/>
        <w:tblLook w:val="04A0" w:firstRow="1" w:lastRow="0" w:firstColumn="1" w:lastColumn="0" w:noHBand="0" w:noVBand="1"/>
      </w:tblPr>
      <w:tblGrid>
        <w:gridCol w:w="1440"/>
        <w:gridCol w:w="2129"/>
        <w:gridCol w:w="2189"/>
        <w:gridCol w:w="849"/>
        <w:gridCol w:w="1150"/>
        <w:gridCol w:w="1593"/>
      </w:tblGrid>
      <w:tr w:rsidR="0096513E" w:rsidRPr="008463FB" w14:paraId="1D3917B5" w14:textId="77777777" w:rsidTr="009651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tcPr>
          <w:p w14:paraId="3559A0F4" w14:textId="77777777" w:rsidR="008463FB" w:rsidRPr="008463FB" w:rsidRDefault="008463FB" w:rsidP="008463FB">
            <w:pPr>
              <w:pStyle w:val="Heading1"/>
              <w:jc w:val="center"/>
              <w:outlineLvl w:val="0"/>
              <w:rPr>
                <w:b/>
                <w:bCs/>
                <w:sz w:val="20"/>
                <w:szCs w:val="20"/>
              </w:rPr>
            </w:pPr>
            <w:r w:rsidRPr="008463FB">
              <w:rPr>
                <w:b/>
                <w:bCs/>
                <w:sz w:val="20"/>
                <w:szCs w:val="20"/>
              </w:rPr>
              <w:t>Project</w:t>
            </w:r>
          </w:p>
        </w:tc>
        <w:tc>
          <w:tcPr>
            <w:tcW w:w="2139" w:type="dxa"/>
          </w:tcPr>
          <w:p w14:paraId="4A8073B3" w14:textId="77777777" w:rsidR="008463FB" w:rsidRPr="008463FB" w:rsidRDefault="008463FB" w:rsidP="008463FB">
            <w:pPr>
              <w:pStyle w:val="Heading1"/>
              <w:jc w:val="center"/>
              <w:outlineLvl w:val="0"/>
              <w:cnfStyle w:val="100000000000" w:firstRow="1" w:lastRow="0" w:firstColumn="0" w:lastColumn="0" w:oddVBand="0" w:evenVBand="0" w:oddHBand="0" w:evenHBand="0" w:firstRowFirstColumn="0" w:firstRowLastColumn="0" w:lastRowFirstColumn="0" w:lastRowLastColumn="0"/>
              <w:rPr>
                <w:b/>
                <w:bCs/>
                <w:sz w:val="20"/>
                <w:szCs w:val="20"/>
              </w:rPr>
            </w:pPr>
            <w:r w:rsidRPr="008463FB">
              <w:rPr>
                <w:b/>
                <w:bCs/>
                <w:sz w:val="20"/>
                <w:szCs w:val="20"/>
              </w:rPr>
              <w:t>Condition or disease</w:t>
            </w:r>
          </w:p>
        </w:tc>
        <w:tc>
          <w:tcPr>
            <w:tcW w:w="2189" w:type="dxa"/>
          </w:tcPr>
          <w:p w14:paraId="3CE389AC" w14:textId="77777777" w:rsidR="008463FB" w:rsidRPr="008463FB" w:rsidRDefault="008463FB" w:rsidP="008463FB">
            <w:pPr>
              <w:pStyle w:val="Heading1"/>
              <w:jc w:val="center"/>
              <w:outlineLvl w:val="0"/>
              <w:cnfStyle w:val="100000000000" w:firstRow="1" w:lastRow="0" w:firstColumn="0" w:lastColumn="0" w:oddVBand="0" w:evenVBand="0" w:oddHBand="0" w:evenHBand="0" w:firstRowFirstColumn="0" w:firstRowLastColumn="0" w:lastRowFirstColumn="0" w:lastRowLastColumn="0"/>
              <w:rPr>
                <w:b/>
                <w:bCs/>
                <w:sz w:val="20"/>
                <w:szCs w:val="20"/>
              </w:rPr>
            </w:pPr>
            <w:r w:rsidRPr="008463FB">
              <w:rPr>
                <w:b/>
                <w:bCs/>
                <w:sz w:val="20"/>
                <w:szCs w:val="20"/>
              </w:rPr>
              <w:t>Intervention/treatment</w:t>
            </w:r>
          </w:p>
        </w:tc>
        <w:tc>
          <w:tcPr>
            <w:tcW w:w="851" w:type="dxa"/>
          </w:tcPr>
          <w:p w14:paraId="002557B1" w14:textId="77777777" w:rsidR="008463FB" w:rsidRPr="008463FB" w:rsidRDefault="008463FB" w:rsidP="008463FB">
            <w:pPr>
              <w:pStyle w:val="Heading1"/>
              <w:jc w:val="center"/>
              <w:outlineLvl w:val="0"/>
              <w:cnfStyle w:val="100000000000" w:firstRow="1" w:lastRow="0" w:firstColumn="0" w:lastColumn="0" w:oddVBand="0" w:evenVBand="0" w:oddHBand="0" w:evenHBand="0" w:firstRowFirstColumn="0" w:firstRowLastColumn="0" w:lastRowFirstColumn="0" w:lastRowLastColumn="0"/>
              <w:rPr>
                <w:b/>
                <w:bCs/>
                <w:sz w:val="20"/>
                <w:szCs w:val="20"/>
              </w:rPr>
            </w:pPr>
            <w:r>
              <w:rPr>
                <w:b/>
                <w:bCs/>
                <w:sz w:val="20"/>
                <w:szCs w:val="20"/>
              </w:rPr>
              <w:t>Phase</w:t>
            </w:r>
          </w:p>
        </w:tc>
        <w:tc>
          <w:tcPr>
            <w:tcW w:w="1150" w:type="dxa"/>
            <w:tcBorders>
              <w:right w:val="single" w:sz="4" w:space="0" w:color="auto"/>
            </w:tcBorders>
          </w:tcPr>
          <w:p w14:paraId="33A1CA5D" w14:textId="77777777" w:rsidR="008463FB" w:rsidRPr="008463FB" w:rsidRDefault="008463FB" w:rsidP="008463FB">
            <w:pPr>
              <w:pStyle w:val="Heading1"/>
              <w:jc w:val="center"/>
              <w:outlineLvl w:val="0"/>
              <w:cnfStyle w:val="100000000000" w:firstRow="1" w:lastRow="0" w:firstColumn="0" w:lastColumn="0" w:oddVBand="0" w:evenVBand="0" w:oddHBand="0" w:evenHBand="0" w:firstRowFirstColumn="0" w:firstRowLastColumn="0" w:lastRowFirstColumn="0" w:lastRowLastColumn="0"/>
              <w:rPr>
                <w:b/>
                <w:bCs/>
                <w:sz w:val="20"/>
                <w:szCs w:val="20"/>
              </w:rPr>
            </w:pPr>
            <w:proofErr w:type="spellStart"/>
            <w:r>
              <w:rPr>
                <w:b/>
                <w:bCs/>
                <w:sz w:val="20"/>
                <w:szCs w:val="20"/>
              </w:rPr>
              <w:t>Saple</w:t>
            </w:r>
            <w:proofErr w:type="spellEnd"/>
            <w:r>
              <w:rPr>
                <w:b/>
                <w:bCs/>
                <w:sz w:val="20"/>
                <w:szCs w:val="20"/>
              </w:rPr>
              <w:t xml:space="preserve"> size</w:t>
            </w:r>
          </w:p>
        </w:tc>
        <w:tc>
          <w:tcPr>
            <w:tcW w:w="1594" w:type="dxa"/>
            <w:tcBorders>
              <w:left w:val="single" w:sz="4" w:space="0" w:color="auto"/>
            </w:tcBorders>
          </w:tcPr>
          <w:p w14:paraId="60DD19F1" w14:textId="77777777" w:rsidR="008463FB" w:rsidRPr="00A969B6" w:rsidRDefault="00A969B6" w:rsidP="008463FB">
            <w:pPr>
              <w:pStyle w:val="Heading1"/>
              <w:jc w:val="center"/>
              <w:outlineLvl w:val="0"/>
              <w:cnfStyle w:val="100000000000" w:firstRow="1" w:lastRow="0" w:firstColumn="0" w:lastColumn="0" w:oddVBand="0" w:evenVBand="0" w:oddHBand="0" w:evenHBand="0" w:firstRowFirstColumn="0" w:firstRowLastColumn="0" w:lastRowFirstColumn="0" w:lastRowLastColumn="0"/>
              <w:rPr>
                <w:b/>
                <w:bCs/>
                <w:sz w:val="20"/>
                <w:szCs w:val="20"/>
              </w:rPr>
            </w:pPr>
            <w:r w:rsidRPr="00A969B6">
              <w:rPr>
                <w:b/>
                <w:bCs/>
                <w:sz w:val="20"/>
                <w:szCs w:val="20"/>
              </w:rPr>
              <w:t>Result</w:t>
            </w:r>
          </w:p>
        </w:tc>
      </w:tr>
      <w:tr w:rsidR="0096513E" w:rsidRPr="008463FB" w14:paraId="7D16A325" w14:textId="77777777" w:rsidTr="009651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tcPr>
          <w:p w14:paraId="324F3679" w14:textId="77777777" w:rsidR="008463FB" w:rsidRDefault="008463FB" w:rsidP="008463FB">
            <w:pPr>
              <w:pStyle w:val="Heading1"/>
              <w:jc w:val="center"/>
              <w:outlineLvl w:val="0"/>
              <w:rPr>
                <w:b/>
                <w:bCs/>
                <w:sz w:val="20"/>
                <w:szCs w:val="20"/>
              </w:rPr>
            </w:pPr>
            <w:proofErr w:type="spellStart"/>
            <w:r w:rsidRPr="008463FB">
              <w:rPr>
                <w:sz w:val="20"/>
                <w:szCs w:val="20"/>
              </w:rPr>
              <w:t>Bandim</w:t>
            </w:r>
            <w:proofErr w:type="spellEnd"/>
            <w:r w:rsidRPr="008463FB">
              <w:rPr>
                <w:sz w:val="20"/>
                <w:szCs w:val="20"/>
              </w:rPr>
              <w:t xml:space="preserve"> Health Project</w:t>
            </w:r>
            <w:r>
              <w:rPr>
                <w:sz w:val="20"/>
                <w:szCs w:val="20"/>
              </w:rPr>
              <w:t xml:space="preserve">, </w:t>
            </w:r>
            <w:r w:rsidRPr="008463FB">
              <w:rPr>
                <w:sz w:val="20"/>
                <w:szCs w:val="20"/>
              </w:rPr>
              <w:t>University of Southern Denmark</w:t>
            </w:r>
          </w:p>
          <w:p w14:paraId="392B9D95" w14:textId="77777777" w:rsidR="00E475FF" w:rsidRDefault="00E475FF" w:rsidP="008463FB">
            <w:pPr>
              <w:pStyle w:val="Heading1"/>
              <w:jc w:val="center"/>
              <w:outlineLvl w:val="0"/>
              <w:rPr>
                <w:sz w:val="20"/>
                <w:szCs w:val="20"/>
              </w:rPr>
            </w:pPr>
            <w:r w:rsidRPr="00DA7F73">
              <w:rPr>
                <w:b/>
                <w:bCs/>
                <w:sz w:val="20"/>
                <w:szCs w:val="20"/>
              </w:rPr>
              <w:t>NCT04383925</w:t>
            </w:r>
          </w:p>
          <w:p w14:paraId="23E990E2" w14:textId="5EFFD11A" w:rsidR="003B55D1" w:rsidRPr="00DA7F73" w:rsidRDefault="003B55D1" w:rsidP="008463FB">
            <w:pPr>
              <w:pStyle w:val="Heading1"/>
              <w:jc w:val="center"/>
              <w:outlineLvl w:val="0"/>
              <w:rPr>
                <w:b/>
                <w:bCs/>
                <w:sz w:val="20"/>
                <w:szCs w:val="20"/>
              </w:rPr>
            </w:pPr>
            <w:r>
              <w:rPr>
                <w:b/>
                <w:bCs/>
                <w:sz w:val="20"/>
                <w:szCs w:val="20"/>
              </w:rPr>
              <w:t>Ref. # 18</w:t>
            </w:r>
          </w:p>
        </w:tc>
        <w:tc>
          <w:tcPr>
            <w:tcW w:w="2139" w:type="dxa"/>
          </w:tcPr>
          <w:p w14:paraId="5267E82C" w14:textId="77777777" w:rsidR="008463FB" w:rsidRDefault="008463FB"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8463FB">
              <w:rPr>
                <w:b w:val="0"/>
                <w:bCs w:val="0"/>
                <w:sz w:val="20"/>
                <w:szCs w:val="20"/>
              </w:rPr>
              <w:t xml:space="preserve">Death, Infant </w:t>
            </w:r>
          </w:p>
          <w:p w14:paraId="7742B10E" w14:textId="77777777" w:rsidR="008463FB" w:rsidRPr="008463FB" w:rsidRDefault="008463FB"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8463FB">
              <w:rPr>
                <w:b w:val="0"/>
                <w:bCs w:val="0"/>
                <w:sz w:val="20"/>
                <w:szCs w:val="20"/>
              </w:rPr>
              <w:t>Morbidity</w:t>
            </w:r>
            <w:r w:rsidR="00DA7F73">
              <w:rPr>
                <w:b w:val="0"/>
                <w:bCs w:val="0"/>
                <w:sz w:val="20"/>
                <w:szCs w:val="20"/>
              </w:rPr>
              <w:t xml:space="preserve">, </w:t>
            </w:r>
            <w:r w:rsidRPr="008463FB">
              <w:rPr>
                <w:b w:val="0"/>
                <w:bCs w:val="0"/>
                <w:sz w:val="20"/>
                <w:szCs w:val="20"/>
              </w:rPr>
              <w:t>Infant</w:t>
            </w:r>
          </w:p>
        </w:tc>
        <w:tc>
          <w:tcPr>
            <w:tcW w:w="2189" w:type="dxa"/>
          </w:tcPr>
          <w:p w14:paraId="548F5474" w14:textId="77777777" w:rsidR="008463FB" w:rsidRDefault="008463FB"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bookmarkStart w:id="0" w:name="_Hlk110936693"/>
            <w:r w:rsidRPr="008463FB">
              <w:rPr>
                <w:b w:val="0"/>
                <w:bCs w:val="0"/>
                <w:sz w:val="20"/>
                <w:szCs w:val="20"/>
              </w:rPr>
              <w:t xml:space="preserve">BCG-Japan </w:t>
            </w:r>
          </w:p>
          <w:p w14:paraId="19A7D569" w14:textId="77777777" w:rsidR="008463FB" w:rsidRPr="008463FB" w:rsidRDefault="008463FB"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8463FB">
              <w:rPr>
                <w:b w:val="0"/>
                <w:bCs w:val="0"/>
                <w:sz w:val="20"/>
                <w:szCs w:val="20"/>
              </w:rPr>
              <w:t>BCG-Russia</w:t>
            </w:r>
            <w:bookmarkEnd w:id="0"/>
          </w:p>
        </w:tc>
        <w:tc>
          <w:tcPr>
            <w:tcW w:w="851" w:type="dxa"/>
          </w:tcPr>
          <w:p w14:paraId="56B2ECDE" w14:textId="77777777" w:rsidR="008463FB" w:rsidRPr="008463FB" w:rsidRDefault="008463FB"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8463FB">
              <w:rPr>
                <w:b w:val="0"/>
                <w:bCs w:val="0"/>
                <w:sz w:val="20"/>
                <w:szCs w:val="20"/>
              </w:rPr>
              <w:t>Phase 4</w:t>
            </w:r>
          </w:p>
        </w:tc>
        <w:tc>
          <w:tcPr>
            <w:tcW w:w="1150" w:type="dxa"/>
            <w:tcBorders>
              <w:right w:val="single" w:sz="4" w:space="0" w:color="auto"/>
            </w:tcBorders>
          </w:tcPr>
          <w:p w14:paraId="2935E4AE" w14:textId="77777777" w:rsidR="008463FB" w:rsidRPr="008463FB" w:rsidRDefault="008463FB"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8463FB">
              <w:rPr>
                <w:b w:val="0"/>
                <w:bCs w:val="0"/>
                <w:sz w:val="20"/>
                <w:szCs w:val="20"/>
              </w:rPr>
              <w:t>15000 participants</w:t>
            </w:r>
          </w:p>
        </w:tc>
        <w:tc>
          <w:tcPr>
            <w:tcW w:w="1594" w:type="dxa"/>
            <w:tcBorders>
              <w:left w:val="single" w:sz="4" w:space="0" w:color="auto"/>
            </w:tcBorders>
          </w:tcPr>
          <w:p w14:paraId="1392AD7F" w14:textId="77777777" w:rsidR="008463FB" w:rsidRPr="008463FB" w:rsidRDefault="00A969B6" w:rsidP="00A969B6">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A969B6">
              <w:rPr>
                <w:b w:val="0"/>
                <w:bCs w:val="0"/>
                <w:sz w:val="20"/>
                <w:szCs w:val="20"/>
              </w:rPr>
              <w:t>Estimated Study Completion Date: December</w:t>
            </w:r>
            <w:r>
              <w:rPr>
                <w:b w:val="0"/>
                <w:bCs w:val="0"/>
                <w:sz w:val="20"/>
                <w:szCs w:val="20"/>
              </w:rPr>
              <w:t xml:space="preserve"> </w:t>
            </w:r>
            <w:r w:rsidRPr="00A969B6">
              <w:rPr>
                <w:b w:val="0"/>
                <w:bCs w:val="0"/>
                <w:sz w:val="20"/>
                <w:szCs w:val="20"/>
              </w:rPr>
              <w:t>2022</w:t>
            </w:r>
          </w:p>
        </w:tc>
      </w:tr>
      <w:tr w:rsidR="0096513E" w:rsidRPr="008463FB" w14:paraId="2750883B" w14:textId="77777777" w:rsidTr="0096513E">
        <w:tc>
          <w:tcPr>
            <w:cnfStyle w:val="001000000000" w:firstRow="0" w:lastRow="0" w:firstColumn="1" w:lastColumn="0" w:oddVBand="0" w:evenVBand="0" w:oddHBand="0" w:evenHBand="0" w:firstRowFirstColumn="0" w:firstRowLastColumn="0" w:lastRowFirstColumn="0" w:lastRowLastColumn="0"/>
            <w:tcW w:w="1427" w:type="dxa"/>
          </w:tcPr>
          <w:p w14:paraId="687DC39E" w14:textId="77777777" w:rsidR="008463FB" w:rsidRDefault="001131E6" w:rsidP="001131E6">
            <w:pPr>
              <w:pStyle w:val="Heading1"/>
              <w:jc w:val="center"/>
              <w:outlineLvl w:val="0"/>
              <w:rPr>
                <w:b/>
                <w:bCs/>
                <w:sz w:val="20"/>
                <w:szCs w:val="20"/>
              </w:rPr>
            </w:pPr>
            <w:proofErr w:type="spellStart"/>
            <w:r w:rsidRPr="001131E6">
              <w:rPr>
                <w:sz w:val="20"/>
                <w:szCs w:val="20"/>
              </w:rPr>
              <w:t>Bandim</w:t>
            </w:r>
            <w:proofErr w:type="spellEnd"/>
            <w:r w:rsidRPr="001131E6">
              <w:rPr>
                <w:sz w:val="20"/>
                <w:szCs w:val="20"/>
              </w:rPr>
              <w:t xml:space="preserve"> Health Project</w:t>
            </w:r>
            <w:r>
              <w:rPr>
                <w:sz w:val="20"/>
                <w:szCs w:val="20"/>
              </w:rPr>
              <w:t xml:space="preserve">, </w:t>
            </w:r>
            <w:proofErr w:type="spellStart"/>
            <w:r w:rsidRPr="001131E6">
              <w:rPr>
                <w:sz w:val="20"/>
                <w:szCs w:val="20"/>
              </w:rPr>
              <w:t>Statens</w:t>
            </w:r>
            <w:proofErr w:type="spellEnd"/>
            <w:r w:rsidRPr="001131E6">
              <w:rPr>
                <w:sz w:val="20"/>
                <w:szCs w:val="20"/>
              </w:rPr>
              <w:t xml:space="preserve"> Serum </w:t>
            </w:r>
            <w:proofErr w:type="spellStart"/>
            <w:r w:rsidRPr="001131E6">
              <w:rPr>
                <w:sz w:val="20"/>
                <w:szCs w:val="20"/>
              </w:rPr>
              <w:t>Institut</w:t>
            </w:r>
            <w:proofErr w:type="spellEnd"/>
          </w:p>
          <w:p w14:paraId="3928AADE" w14:textId="77777777" w:rsidR="00E475FF" w:rsidRDefault="00E475FF" w:rsidP="00E475FF">
            <w:pPr>
              <w:pStyle w:val="Heading1"/>
              <w:jc w:val="center"/>
              <w:outlineLvl w:val="0"/>
              <w:rPr>
                <w:sz w:val="20"/>
                <w:szCs w:val="20"/>
              </w:rPr>
            </w:pPr>
            <w:r w:rsidRPr="00DA7F73">
              <w:rPr>
                <w:b/>
                <w:bCs/>
                <w:sz w:val="20"/>
                <w:szCs w:val="20"/>
              </w:rPr>
              <w:t>NCT02447536</w:t>
            </w:r>
          </w:p>
          <w:p w14:paraId="3BC663EF" w14:textId="176154F6" w:rsidR="003B55D1" w:rsidRPr="00DA7F73" w:rsidRDefault="003B55D1" w:rsidP="00E475FF">
            <w:pPr>
              <w:pStyle w:val="Heading1"/>
              <w:jc w:val="center"/>
              <w:outlineLvl w:val="0"/>
              <w:rPr>
                <w:b/>
                <w:bCs/>
                <w:sz w:val="20"/>
                <w:szCs w:val="20"/>
              </w:rPr>
            </w:pPr>
            <w:r>
              <w:rPr>
                <w:b/>
                <w:bCs/>
                <w:sz w:val="20"/>
                <w:szCs w:val="20"/>
              </w:rPr>
              <w:t>Ref. # 19</w:t>
            </w:r>
          </w:p>
        </w:tc>
        <w:tc>
          <w:tcPr>
            <w:tcW w:w="2139" w:type="dxa"/>
          </w:tcPr>
          <w:p w14:paraId="44F49201" w14:textId="77777777" w:rsidR="001131E6"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1131E6">
              <w:rPr>
                <w:b w:val="0"/>
                <w:bCs w:val="0"/>
                <w:sz w:val="20"/>
                <w:szCs w:val="20"/>
              </w:rPr>
              <w:t xml:space="preserve">Morbidity </w:t>
            </w:r>
          </w:p>
          <w:p w14:paraId="75920375" w14:textId="77777777" w:rsidR="001131E6"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p>
          <w:p w14:paraId="7D9B8A33" w14:textId="77777777" w:rsidR="008463FB" w:rsidRPr="008463FB"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proofErr w:type="spellStart"/>
            <w:r w:rsidRPr="001131E6">
              <w:rPr>
                <w:b w:val="0"/>
                <w:bCs w:val="0"/>
                <w:sz w:val="20"/>
                <w:szCs w:val="20"/>
              </w:rPr>
              <w:t>Bacille</w:t>
            </w:r>
            <w:proofErr w:type="spellEnd"/>
            <w:r w:rsidRPr="001131E6">
              <w:rPr>
                <w:b w:val="0"/>
                <w:bCs w:val="0"/>
                <w:sz w:val="20"/>
                <w:szCs w:val="20"/>
              </w:rPr>
              <w:t xml:space="preserve"> Calmette-</w:t>
            </w:r>
            <w:proofErr w:type="spellStart"/>
            <w:r w:rsidRPr="001131E6">
              <w:rPr>
                <w:b w:val="0"/>
                <w:bCs w:val="0"/>
                <w:sz w:val="20"/>
                <w:szCs w:val="20"/>
              </w:rPr>
              <w:t>Guérin</w:t>
            </w:r>
            <w:proofErr w:type="spellEnd"/>
          </w:p>
        </w:tc>
        <w:tc>
          <w:tcPr>
            <w:tcW w:w="2189" w:type="dxa"/>
          </w:tcPr>
          <w:p w14:paraId="5311B98B" w14:textId="77777777" w:rsidR="001131E6"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bookmarkStart w:id="1" w:name="_Hlk110936722"/>
            <w:r w:rsidRPr="001131E6">
              <w:rPr>
                <w:b w:val="0"/>
                <w:bCs w:val="0"/>
                <w:sz w:val="20"/>
                <w:szCs w:val="20"/>
              </w:rPr>
              <w:t>BCG-Denmark 1331</w:t>
            </w:r>
            <w:bookmarkEnd w:id="1"/>
            <w:r w:rsidRPr="001131E6">
              <w:rPr>
                <w:b w:val="0"/>
                <w:bCs w:val="0"/>
                <w:sz w:val="20"/>
                <w:szCs w:val="20"/>
              </w:rPr>
              <w:t xml:space="preserve"> (</w:t>
            </w:r>
            <w:proofErr w:type="spellStart"/>
            <w:r w:rsidRPr="001131E6">
              <w:rPr>
                <w:b w:val="0"/>
                <w:bCs w:val="0"/>
                <w:sz w:val="20"/>
                <w:szCs w:val="20"/>
              </w:rPr>
              <w:t>Statens</w:t>
            </w:r>
            <w:proofErr w:type="spellEnd"/>
            <w:r w:rsidRPr="001131E6">
              <w:rPr>
                <w:b w:val="0"/>
                <w:bCs w:val="0"/>
                <w:sz w:val="20"/>
                <w:szCs w:val="20"/>
              </w:rPr>
              <w:t xml:space="preserve"> Serum Institute) </w:t>
            </w:r>
          </w:p>
          <w:p w14:paraId="6A07DC71" w14:textId="77777777" w:rsidR="008463FB" w:rsidRPr="008463FB"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1131E6">
              <w:rPr>
                <w:b w:val="0"/>
                <w:bCs w:val="0"/>
                <w:sz w:val="20"/>
                <w:szCs w:val="20"/>
              </w:rPr>
              <w:t>BCG-Russia-I (Serum Institute of India)</w:t>
            </w:r>
          </w:p>
        </w:tc>
        <w:tc>
          <w:tcPr>
            <w:tcW w:w="851" w:type="dxa"/>
          </w:tcPr>
          <w:p w14:paraId="4AA0B7D0" w14:textId="77777777" w:rsidR="008463FB" w:rsidRPr="008463FB"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1131E6">
              <w:rPr>
                <w:b w:val="0"/>
                <w:bCs w:val="0"/>
                <w:sz w:val="20"/>
                <w:szCs w:val="20"/>
              </w:rPr>
              <w:t>Phase 4</w:t>
            </w:r>
          </w:p>
        </w:tc>
        <w:tc>
          <w:tcPr>
            <w:tcW w:w="1150" w:type="dxa"/>
            <w:tcBorders>
              <w:right w:val="single" w:sz="4" w:space="0" w:color="auto"/>
            </w:tcBorders>
          </w:tcPr>
          <w:p w14:paraId="12B87B76" w14:textId="77777777" w:rsidR="008463FB"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1131E6">
              <w:rPr>
                <w:b w:val="0"/>
                <w:bCs w:val="0"/>
                <w:sz w:val="20"/>
                <w:szCs w:val="20"/>
              </w:rPr>
              <w:t>12006 participants</w:t>
            </w:r>
          </w:p>
          <w:p w14:paraId="4A6509A0" w14:textId="77777777" w:rsidR="001131E6" w:rsidRPr="001131E6" w:rsidRDefault="001131E6" w:rsidP="001131E6">
            <w:pPr>
              <w:cnfStyle w:val="000000000000" w:firstRow="0" w:lastRow="0" w:firstColumn="0" w:lastColumn="0" w:oddVBand="0" w:evenVBand="0" w:oddHBand="0" w:evenHBand="0" w:firstRowFirstColumn="0" w:firstRowLastColumn="0" w:lastRowFirstColumn="0" w:lastRowLastColumn="0"/>
            </w:pPr>
          </w:p>
        </w:tc>
        <w:tc>
          <w:tcPr>
            <w:tcW w:w="1594" w:type="dxa"/>
            <w:tcBorders>
              <w:left w:val="single" w:sz="4" w:space="0" w:color="auto"/>
            </w:tcBorders>
          </w:tcPr>
          <w:p w14:paraId="212F1BF7" w14:textId="77777777" w:rsidR="008463FB" w:rsidRPr="008463FB" w:rsidRDefault="001131E6" w:rsidP="001131E6">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1131E6">
              <w:rPr>
                <w:b w:val="0"/>
                <w:bCs w:val="0"/>
                <w:sz w:val="20"/>
                <w:szCs w:val="20"/>
              </w:rPr>
              <w:t>BCG strains did not affect morbidity. BCG-Denmark and BCG-Japan were more immunogenic than BCG-Russia by the measures traditionally viewed as surrogates for successful immunization.</w:t>
            </w:r>
          </w:p>
        </w:tc>
      </w:tr>
      <w:tr w:rsidR="0096513E" w:rsidRPr="008463FB" w14:paraId="200D98A9" w14:textId="77777777" w:rsidTr="009651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tcPr>
          <w:p w14:paraId="57870D6F" w14:textId="77777777" w:rsidR="008463FB" w:rsidRDefault="0096513E" w:rsidP="0096513E">
            <w:pPr>
              <w:pStyle w:val="Heading1"/>
              <w:jc w:val="center"/>
              <w:outlineLvl w:val="0"/>
              <w:rPr>
                <w:b/>
                <w:bCs/>
                <w:sz w:val="20"/>
                <w:szCs w:val="20"/>
              </w:rPr>
            </w:pPr>
            <w:proofErr w:type="spellStart"/>
            <w:r w:rsidRPr="001131E6">
              <w:rPr>
                <w:sz w:val="20"/>
                <w:szCs w:val="20"/>
              </w:rPr>
              <w:t>Bandim</w:t>
            </w:r>
            <w:proofErr w:type="spellEnd"/>
            <w:r w:rsidRPr="001131E6">
              <w:rPr>
                <w:sz w:val="20"/>
                <w:szCs w:val="20"/>
              </w:rPr>
              <w:t xml:space="preserve"> Health Project</w:t>
            </w:r>
            <w:r>
              <w:rPr>
                <w:sz w:val="20"/>
                <w:szCs w:val="20"/>
              </w:rPr>
              <w:t xml:space="preserve">, </w:t>
            </w:r>
            <w:r w:rsidRPr="0096513E">
              <w:rPr>
                <w:sz w:val="20"/>
                <w:szCs w:val="20"/>
              </w:rPr>
              <w:t>Research Center for Vitamins and Vaccines</w:t>
            </w:r>
          </w:p>
          <w:p w14:paraId="42C1DFC4" w14:textId="0BD5DA59" w:rsidR="00E475FF" w:rsidRDefault="00E475FF" w:rsidP="00E475FF">
            <w:pPr>
              <w:pStyle w:val="Heading1"/>
              <w:jc w:val="center"/>
              <w:outlineLvl w:val="0"/>
              <w:rPr>
                <w:sz w:val="20"/>
                <w:szCs w:val="20"/>
              </w:rPr>
            </w:pPr>
            <w:r w:rsidRPr="00DA7F73">
              <w:rPr>
                <w:b/>
                <w:bCs/>
                <w:sz w:val="20"/>
                <w:szCs w:val="20"/>
              </w:rPr>
              <w:t>NCT03400878</w:t>
            </w:r>
          </w:p>
          <w:p w14:paraId="731B3888" w14:textId="39033DCC" w:rsidR="003B55D1" w:rsidRPr="003B55D1" w:rsidRDefault="003B55D1" w:rsidP="003B55D1">
            <w:pPr>
              <w:pStyle w:val="Heading1"/>
              <w:jc w:val="center"/>
              <w:outlineLvl w:val="0"/>
              <w:rPr>
                <w:sz w:val="20"/>
                <w:szCs w:val="20"/>
              </w:rPr>
            </w:pPr>
            <w:r>
              <w:rPr>
                <w:b/>
                <w:bCs/>
                <w:sz w:val="20"/>
                <w:szCs w:val="20"/>
              </w:rPr>
              <w:t>Ref. # 20</w:t>
            </w:r>
          </w:p>
        </w:tc>
        <w:tc>
          <w:tcPr>
            <w:tcW w:w="2139" w:type="dxa"/>
          </w:tcPr>
          <w:p w14:paraId="7654B81B" w14:textId="77777777" w:rsidR="0096513E" w:rsidRDefault="0096513E" w:rsidP="0096513E">
            <w:pPr>
              <w:pStyle w:val="Heading1"/>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bookmarkStart w:id="2" w:name="_Hlk110936593"/>
            <w:r w:rsidRPr="0096513E">
              <w:rPr>
                <w:b w:val="0"/>
                <w:bCs w:val="0"/>
                <w:sz w:val="20"/>
                <w:szCs w:val="20"/>
              </w:rPr>
              <w:t>Heterologous</w:t>
            </w:r>
            <w:r>
              <w:rPr>
                <w:b w:val="0"/>
                <w:bCs w:val="0"/>
                <w:sz w:val="20"/>
                <w:szCs w:val="20"/>
              </w:rPr>
              <w:t xml:space="preserve"> </w:t>
            </w:r>
            <w:r w:rsidRPr="0096513E">
              <w:rPr>
                <w:b w:val="0"/>
                <w:bCs w:val="0"/>
                <w:sz w:val="20"/>
                <w:szCs w:val="20"/>
              </w:rPr>
              <w:t xml:space="preserve">Immunity </w:t>
            </w:r>
          </w:p>
          <w:p w14:paraId="2B27EA02" w14:textId="77777777" w:rsidR="0096513E" w:rsidRDefault="0096513E" w:rsidP="0096513E">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96513E">
              <w:rPr>
                <w:b w:val="0"/>
                <w:bCs w:val="0"/>
                <w:sz w:val="20"/>
                <w:szCs w:val="20"/>
              </w:rPr>
              <w:t xml:space="preserve">Infant Morbidity </w:t>
            </w:r>
          </w:p>
          <w:p w14:paraId="35490E7E" w14:textId="77777777" w:rsidR="008463FB" w:rsidRPr="008463FB" w:rsidRDefault="0096513E" w:rsidP="0096513E">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96513E">
              <w:rPr>
                <w:b w:val="0"/>
                <w:bCs w:val="0"/>
                <w:sz w:val="20"/>
                <w:szCs w:val="20"/>
              </w:rPr>
              <w:t xml:space="preserve">Infant Mortality Trained Immunity Vaccine Reaction </w:t>
            </w:r>
            <w:bookmarkEnd w:id="2"/>
            <w:r w:rsidRPr="0096513E">
              <w:rPr>
                <w:b w:val="0"/>
                <w:bCs w:val="0"/>
                <w:sz w:val="20"/>
                <w:szCs w:val="20"/>
              </w:rPr>
              <w:t>Vaccine Adverse Reaction</w:t>
            </w:r>
          </w:p>
        </w:tc>
        <w:tc>
          <w:tcPr>
            <w:tcW w:w="2189" w:type="dxa"/>
          </w:tcPr>
          <w:p w14:paraId="4EBDC15A" w14:textId="77777777" w:rsidR="00AB6966" w:rsidRDefault="0096513E" w:rsidP="0096513E">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96513E">
              <w:rPr>
                <w:b w:val="0"/>
                <w:bCs w:val="0"/>
                <w:sz w:val="20"/>
                <w:szCs w:val="20"/>
              </w:rPr>
              <w:t xml:space="preserve">BCG-Japan </w:t>
            </w:r>
          </w:p>
          <w:p w14:paraId="60AF81C5" w14:textId="77777777" w:rsidR="008463FB" w:rsidRPr="008463FB" w:rsidRDefault="0096513E" w:rsidP="0096513E">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96513E">
              <w:rPr>
                <w:b w:val="0"/>
                <w:bCs w:val="0"/>
                <w:sz w:val="20"/>
                <w:szCs w:val="20"/>
              </w:rPr>
              <w:t>BCG-Russia</w:t>
            </w:r>
          </w:p>
        </w:tc>
        <w:tc>
          <w:tcPr>
            <w:tcW w:w="851" w:type="dxa"/>
          </w:tcPr>
          <w:p w14:paraId="481247DF" w14:textId="77777777" w:rsidR="008463FB" w:rsidRPr="008463FB" w:rsidRDefault="0096513E" w:rsidP="0096513E">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96513E">
              <w:rPr>
                <w:b w:val="0"/>
                <w:bCs w:val="0"/>
                <w:sz w:val="20"/>
                <w:szCs w:val="20"/>
              </w:rPr>
              <w:t>Phase 4</w:t>
            </w:r>
          </w:p>
        </w:tc>
        <w:tc>
          <w:tcPr>
            <w:tcW w:w="1150" w:type="dxa"/>
            <w:tcBorders>
              <w:right w:val="single" w:sz="4" w:space="0" w:color="auto"/>
            </w:tcBorders>
          </w:tcPr>
          <w:p w14:paraId="005BFFAC" w14:textId="77777777" w:rsidR="008463FB" w:rsidRPr="008463FB" w:rsidRDefault="0096513E" w:rsidP="0096513E">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96513E">
              <w:rPr>
                <w:b w:val="0"/>
                <w:bCs w:val="0"/>
                <w:sz w:val="20"/>
                <w:szCs w:val="20"/>
              </w:rPr>
              <w:t>17505 participants</w:t>
            </w:r>
          </w:p>
        </w:tc>
        <w:tc>
          <w:tcPr>
            <w:tcW w:w="1594" w:type="dxa"/>
            <w:tcBorders>
              <w:left w:val="single" w:sz="4" w:space="0" w:color="auto"/>
            </w:tcBorders>
          </w:tcPr>
          <w:p w14:paraId="646C0BCD" w14:textId="77777777" w:rsidR="008463FB" w:rsidRPr="008463FB" w:rsidRDefault="0096513E"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Pr>
                <w:b w:val="0"/>
                <w:bCs w:val="0"/>
                <w:sz w:val="20"/>
                <w:szCs w:val="20"/>
              </w:rPr>
              <w:t>-</w:t>
            </w:r>
          </w:p>
        </w:tc>
      </w:tr>
      <w:tr w:rsidR="0096513E" w:rsidRPr="008463FB" w14:paraId="03B9AA06" w14:textId="77777777" w:rsidTr="0096513E">
        <w:tc>
          <w:tcPr>
            <w:cnfStyle w:val="001000000000" w:firstRow="0" w:lastRow="0" w:firstColumn="1" w:lastColumn="0" w:oddVBand="0" w:evenVBand="0" w:oddHBand="0" w:evenHBand="0" w:firstRowFirstColumn="0" w:firstRowLastColumn="0" w:lastRowFirstColumn="0" w:lastRowLastColumn="0"/>
            <w:tcW w:w="1427" w:type="dxa"/>
          </w:tcPr>
          <w:p w14:paraId="44A63D72" w14:textId="77777777" w:rsidR="008463FB" w:rsidRDefault="0096513E" w:rsidP="0096513E">
            <w:pPr>
              <w:pStyle w:val="Heading1"/>
              <w:jc w:val="center"/>
              <w:outlineLvl w:val="0"/>
              <w:rPr>
                <w:b/>
                <w:bCs/>
                <w:sz w:val="20"/>
                <w:szCs w:val="20"/>
              </w:rPr>
            </w:pPr>
            <w:r w:rsidRPr="0096513E">
              <w:rPr>
                <w:sz w:val="20"/>
                <w:szCs w:val="20"/>
              </w:rPr>
              <w:t>Southwest Oncology Group</w:t>
            </w:r>
            <w:r>
              <w:rPr>
                <w:sz w:val="20"/>
                <w:szCs w:val="20"/>
              </w:rPr>
              <w:t xml:space="preserve">, </w:t>
            </w:r>
            <w:r w:rsidRPr="0096513E">
              <w:rPr>
                <w:sz w:val="20"/>
                <w:szCs w:val="20"/>
              </w:rPr>
              <w:t>National Cancer Institute (NCI)</w:t>
            </w:r>
          </w:p>
          <w:p w14:paraId="548EC610" w14:textId="77777777" w:rsidR="00E475FF" w:rsidRDefault="00E475FF" w:rsidP="00E475FF">
            <w:pPr>
              <w:pStyle w:val="Heading1"/>
              <w:jc w:val="center"/>
              <w:outlineLvl w:val="0"/>
              <w:rPr>
                <w:sz w:val="20"/>
                <w:szCs w:val="20"/>
              </w:rPr>
            </w:pPr>
            <w:r w:rsidRPr="00DA7F73">
              <w:rPr>
                <w:b/>
                <w:bCs/>
                <w:sz w:val="20"/>
                <w:szCs w:val="20"/>
              </w:rPr>
              <w:t>NCT03091660</w:t>
            </w:r>
          </w:p>
          <w:p w14:paraId="38902524" w14:textId="5E76EE68" w:rsidR="003B55D1" w:rsidRPr="00DA7F73" w:rsidRDefault="003B55D1" w:rsidP="00E475FF">
            <w:pPr>
              <w:pStyle w:val="Heading1"/>
              <w:jc w:val="center"/>
              <w:outlineLvl w:val="0"/>
              <w:rPr>
                <w:b/>
                <w:bCs/>
                <w:sz w:val="20"/>
                <w:szCs w:val="20"/>
              </w:rPr>
            </w:pPr>
            <w:r>
              <w:rPr>
                <w:b/>
                <w:bCs/>
                <w:sz w:val="20"/>
                <w:szCs w:val="20"/>
              </w:rPr>
              <w:t>Ref. # 21</w:t>
            </w:r>
          </w:p>
        </w:tc>
        <w:tc>
          <w:tcPr>
            <w:tcW w:w="2139" w:type="dxa"/>
          </w:tcPr>
          <w:p w14:paraId="0CEDB10B" w14:textId="77777777" w:rsidR="005A0084"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 xml:space="preserve">Stage 0 Bladder Urothelial Carcinoma </w:t>
            </w:r>
          </w:p>
          <w:p w14:paraId="15ADBA1B" w14:textId="77777777" w:rsidR="005A0084"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 xml:space="preserve">Stage 0is </w:t>
            </w:r>
            <w:bookmarkStart w:id="3" w:name="_Hlk110936626"/>
            <w:r w:rsidRPr="005A0084">
              <w:rPr>
                <w:b w:val="0"/>
                <w:bCs w:val="0"/>
                <w:sz w:val="20"/>
                <w:szCs w:val="20"/>
              </w:rPr>
              <w:t xml:space="preserve">Bladder Urothelial Carcinoma </w:t>
            </w:r>
            <w:bookmarkEnd w:id="3"/>
          </w:p>
          <w:p w14:paraId="44C95FBF" w14:textId="77777777" w:rsidR="008463FB" w:rsidRPr="008463FB"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Stage I Bladder Urothelial Carcinoma</w:t>
            </w:r>
          </w:p>
        </w:tc>
        <w:tc>
          <w:tcPr>
            <w:tcW w:w="2189" w:type="dxa"/>
          </w:tcPr>
          <w:p w14:paraId="7C6AF63A" w14:textId="77777777" w:rsidR="005A0084"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BCG Solution</w:t>
            </w:r>
          </w:p>
          <w:p w14:paraId="2E751917" w14:textId="77777777" w:rsidR="005A0084"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 xml:space="preserve"> BCG Tokyo-172 Strain Solution </w:t>
            </w:r>
          </w:p>
          <w:p w14:paraId="5D50514F" w14:textId="77777777" w:rsidR="005A0084"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 xml:space="preserve">BCG Tokyo-172 Strain Vaccine </w:t>
            </w:r>
          </w:p>
          <w:p w14:paraId="6D4C2840" w14:textId="77777777" w:rsidR="008463FB" w:rsidRPr="008463FB"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Laboratory Biomarker Analysis</w:t>
            </w:r>
          </w:p>
        </w:tc>
        <w:tc>
          <w:tcPr>
            <w:tcW w:w="851" w:type="dxa"/>
          </w:tcPr>
          <w:p w14:paraId="1DB11650" w14:textId="77777777" w:rsidR="008463FB" w:rsidRPr="008463FB"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Phase 3</w:t>
            </w:r>
          </w:p>
        </w:tc>
        <w:tc>
          <w:tcPr>
            <w:tcW w:w="1150" w:type="dxa"/>
            <w:tcBorders>
              <w:right w:val="single" w:sz="4" w:space="0" w:color="auto"/>
            </w:tcBorders>
          </w:tcPr>
          <w:p w14:paraId="2DB1C6AB" w14:textId="77777777" w:rsidR="008463FB" w:rsidRPr="008463FB" w:rsidRDefault="005A0084" w:rsidP="005A0084">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1000 participants</w:t>
            </w:r>
          </w:p>
        </w:tc>
        <w:tc>
          <w:tcPr>
            <w:tcW w:w="1594" w:type="dxa"/>
            <w:tcBorders>
              <w:left w:val="single" w:sz="4" w:space="0" w:color="auto"/>
            </w:tcBorders>
          </w:tcPr>
          <w:p w14:paraId="181F4C2A" w14:textId="38C0CD95" w:rsidR="008463FB" w:rsidRPr="008463FB" w:rsidRDefault="005A0084" w:rsidP="008463FB">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5A0084">
              <w:rPr>
                <w:b w:val="0"/>
                <w:bCs w:val="0"/>
                <w:sz w:val="20"/>
                <w:szCs w:val="20"/>
              </w:rPr>
              <w:t>Estimated Study Completion Date: February 2025</w:t>
            </w:r>
          </w:p>
        </w:tc>
      </w:tr>
      <w:tr w:rsidR="0096513E" w:rsidRPr="008463FB" w14:paraId="5C7213DC" w14:textId="77777777" w:rsidTr="0096513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7" w:type="dxa"/>
          </w:tcPr>
          <w:p w14:paraId="04BC5597" w14:textId="77777777" w:rsidR="008463FB" w:rsidRDefault="00B87828" w:rsidP="00B87828">
            <w:pPr>
              <w:pStyle w:val="Heading1"/>
              <w:jc w:val="center"/>
              <w:outlineLvl w:val="0"/>
              <w:rPr>
                <w:b/>
                <w:bCs/>
                <w:sz w:val="20"/>
                <w:szCs w:val="20"/>
              </w:rPr>
            </w:pPr>
            <w:r w:rsidRPr="00B87828">
              <w:rPr>
                <w:sz w:val="20"/>
                <w:szCs w:val="20"/>
              </w:rPr>
              <w:t xml:space="preserve">Swiss Group for Clinical </w:t>
            </w:r>
            <w:r w:rsidRPr="00B87828">
              <w:rPr>
                <w:sz w:val="20"/>
                <w:szCs w:val="20"/>
              </w:rPr>
              <w:lastRenderedPageBreak/>
              <w:t>Cancer Research</w:t>
            </w:r>
          </w:p>
          <w:p w14:paraId="3BD84A98" w14:textId="77777777" w:rsidR="00E475FF" w:rsidRDefault="00E475FF" w:rsidP="00E475FF">
            <w:pPr>
              <w:pStyle w:val="Heading1"/>
              <w:jc w:val="center"/>
              <w:outlineLvl w:val="0"/>
              <w:rPr>
                <w:sz w:val="20"/>
                <w:szCs w:val="20"/>
              </w:rPr>
            </w:pPr>
            <w:r w:rsidRPr="00DA7F73">
              <w:rPr>
                <w:b/>
                <w:bCs/>
                <w:sz w:val="20"/>
                <w:szCs w:val="20"/>
              </w:rPr>
              <w:t>NCT00003779</w:t>
            </w:r>
          </w:p>
          <w:p w14:paraId="482C382E" w14:textId="7BDA8305" w:rsidR="003B55D1" w:rsidRPr="00DA7F73" w:rsidRDefault="003B55D1" w:rsidP="00E475FF">
            <w:pPr>
              <w:pStyle w:val="Heading1"/>
              <w:jc w:val="center"/>
              <w:outlineLvl w:val="0"/>
              <w:rPr>
                <w:b/>
                <w:bCs/>
                <w:sz w:val="20"/>
                <w:szCs w:val="20"/>
              </w:rPr>
            </w:pPr>
            <w:r>
              <w:rPr>
                <w:b/>
                <w:bCs/>
                <w:sz w:val="20"/>
                <w:szCs w:val="20"/>
              </w:rPr>
              <w:t>Ref. # 22</w:t>
            </w:r>
          </w:p>
        </w:tc>
        <w:tc>
          <w:tcPr>
            <w:tcW w:w="2139" w:type="dxa"/>
          </w:tcPr>
          <w:p w14:paraId="63740AA2" w14:textId="77777777" w:rsidR="008463FB" w:rsidRPr="008463FB" w:rsidRDefault="00B87828" w:rsidP="00B87828">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B87828">
              <w:rPr>
                <w:b w:val="0"/>
                <w:bCs w:val="0"/>
                <w:sz w:val="20"/>
                <w:szCs w:val="20"/>
              </w:rPr>
              <w:lastRenderedPageBreak/>
              <w:t>Bladder Cancer</w:t>
            </w:r>
          </w:p>
        </w:tc>
        <w:tc>
          <w:tcPr>
            <w:tcW w:w="2189" w:type="dxa"/>
          </w:tcPr>
          <w:p w14:paraId="75C8E574" w14:textId="77777777" w:rsidR="00AB6966" w:rsidRDefault="00B87828" w:rsidP="00B87828">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B87828">
              <w:rPr>
                <w:b w:val="0"/>
                <w:bCs w:val="0"/>
                <w:sz w:val="20"/>
                <w:szCs w:val="20"/>
              </w:rPr>
              <w:t xml:space="preserve">Connaught </w:t>
            </w:r>
          </w:p>
          <w:p w14:paraId="371795F7" w14:textId="77777777" w:rsidR="008463FB" w:rsidRPr="008463FB" w:rsidRDefault="00B87828" w:rsidP="00B87828">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B87828">
              <w:rPr>
                <w:b w:val="0"/>
                <w:bCs w:val="0"/>
                <w:sz w:val="20"/>
                <w:szCs w:val="20"/>
              </w:rPr>
              <w:lastRenderedPageBreak/>
              <w:t>Tice</w:t>
            </w:r>
          </w:p>
        </w:tc>
        <w:tc>
          <w:tcPr>
            <w:tcW w:w="851" w:type="dxa"/>
          </w:tcPr>
          <w:p w14:paraId="1EE10444" w14:textId="77777777" w:rsidR="008463FB" w:rsidRPr="008463FB" w:rsidRDefault="00B87828" w:rsidP="00B87828">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B87828">
              <w:rPr>
                <w:b w:val="0"/>
                <w:bCs w:val="0"/>
                <w:sz w:val="20"/>
                <w:szCs w:val="20"/>
              </w:rPr>
              <w:lastRenderedPageBreak/>
              <w:t>Phase 3</w:t>
            </w:r>
          </w:p>
        </w:tc>
        <w:tc>
          <w:tcPr>
            <w:tcW w:w="1150" w:type="dxa"/>
            <w:tcBorders>
              <w:right w:val="single" w:sz="4" w:space="0" w:color="auto"/>
            </w:tcBorders>
          </w:tcPr>
          <w:p w14:paraId="396D6EE2" w14:textId="77777777" w:rsidR="008463FB" w:rsidRPr="008463FB" w:rsidRDefault="00B87828" w:rsidP="00B87828">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B87828">
              <w:rPr>
                <w:b w:val="0"/>
                <w:bCs w:val="0"/>
                <w:sz w:val="20"/>
                <w:szCs w:val="20"/>
              </w:rPr>
              <w:t>40 participants</w:t>
            </w:r>
          </w:p>
        </w:tc>
        <w:tc>
          <w:tcPr>
            <w:tcW w:w="1594" w:type="dxa"/>
            <w:tcBorders>
              <w:left w:val="single" w:sz="4" w:space="0" w:color="auto"/>
            </w:tcBorders>
          </w:tcPr>
          <w:p w14:paraId="3643A733" w14:textId="77777777" w:rsidR="008463FB" w:rsidRPr="008463FB" w:rsidRDefault="00B87828" w:rsidP="008463FB">
            <w:pPr>
              <w:pStyle w:val="Heading1"/>
              <w:jc w:val="center"/>
              <w:outlineLvl w:val="0"/>
              <w:cnfStyle w:val="000000100000" w:firstRow="0" w:lastRow="0" w:firstColumn="0" w:lastColumn="0" w:oddVBand="0" w:evenVBand="0" w:oddHBand="1" w:evenHBand="0" w:firstRowFirstColumn="0" w:firstRowLastColumn="0" w:lastRowFirstColumn="0" w:lastRowLastColumn="0"/>
              <w:rPr>
                <w:b w:val="0"/>
                <w:bCs w:val="0"/>
                <w:sz w:val="20"/>
                <w:szCs w:val="20"/>
              </w:rPr>
            </w:pPr>
            <w:r w:rsidRPr="00B87828">
              <w:rPr>
                <w:b w:val="0"/>
                <w:bCs w:val="0"/>
                <w:sz w:val="20"/>
                <w:szCs w:val="20"/>
              </w:rPr>
              <w:t xml:space="preserve">treatment with BCG Connaught </w:t>
            </w:r>
            <w:r w:rsidRPr="00B87828">
              <w:rPr>
                <w:b w:val="0"/>
                <w:bCs w:val="0"/>
                <w:sz w:val="20"/>
                <w:szCs w:val="20"/>
              </w:rPr>
              <w:lastRenderedPageBreak/>
              <w:t>prevented recurrences more efficiently than BCG Tice. Comparison of the immunogenicity of the two strains in mice indicated superior immunogenicity of BCG Connaught. We also identified genetic differences that may explain the differential efficacy of the Connaught and Tice BCG strains.</w:t>
            </w:r>
          </w:p>
        </w:tc>
      </w:tr>
      <w:tr w:rsidR="0096513E" w:rsidRPr="008463FB" w14:paraId="58467890" w14:textId="77777777" w:rsidTr="0096513E">
        <w:tc>
          <w:tcPr>
            <w:cnfStyle w:val="001000000000" w:firstRow="0" w:lastRow="0" w:firstColumn="1" w:lastColumn="0" w:oddVBand="0" w:evenVBand="0" w:oddHBand="0" w:evenHBand="0" w:firstRowFirstColumn="0" w:firstRowLastColumn="0" w:lastRowFirstColumn="0" w:lastRowLastColumn="0"/>
            <w:tcW w:w="1427" w:type="dxa"/>
          </w:tcPr>
          <w:p w14:paraId="1F70D1F0" w14:textId="77777777" w:rsidR="008463FB" w:rsidRDefault="00E475FF" w:rsidP="00B87828">
            <w:pPr>
              <w:pStyle w:val="Heading1"/>
              <w:jc w:val="center"/>
              <w:outlineLvl w:val="0"/>
              <w:rPr>
                <w:b/>
                <w:bCs/>
                <w:sz w:val="20"/>
                <w:szCs w:val="20"/>
              </w:rPr>
            </w:pPr>
            <w:r w:rsidRPr="00E475FF">
              <w:rPr>
                <w:sz w:val="20"/>
                <w:szCs w:val="20"/>
              </w:rPr>
              <w:lastRenderedPageBreak/>
              <w:t>University of Oxford</w:t>
            </w:r>
          </w:p>
          <w:p w14:paraId="2DCC2461" w14:textId="77777777" w:rsidR="00E475FF" w:rsidRDefault="00E475FF" w:rsidP="00E475FF">
            <w:pPr>
              <w:pStyle w:val="Heading1"/>
              <w:jc w:val="center"/>
              <w:outlineLvl w:val="0"/>
              <w:rPr>
                <w:sz w:val="20"/>
                <w:szCs w:val="20"/>
              </w:rPr>
            </w:pPr>
            <w:r w:rsidRPr="00DA7F73">
              <w:rPr>
                <w:b/>
                <w:bCs/>
                <w:sz w:val="20"/>
                <w:szCs w:val="20"/>
              </w:rPr>
              <w:t>NCT00480714</w:t>
            </w:r>
          </w:p>
          <w:p w14:paraId="4632B70F" w14:textId="3A3164A0" w:rsidR="00EA496C" w:rsidRPr="00DA7F73" w:rsidRDefault="00EA496C" w:rsidP="00E475FF">
            <w:pPr>
              <w:pStyle w:val="Heading1"/>
              <w:jc w:val="center"/>
              <w:outlineLvl w:val="0"/>
              <w:rPr>
                <w:b/>
                <w:bCs/>
                <w:sz w:val="20"/>
                <w:szCs w:val="20"/>
              </w:rPr>
            </w:pPr>
            <w:r>
              <w:rPr>
                <w:b/>
                <w:bCs/>
                <w:sz w:val="20"/>
                <w:szCs w:val="20"/>
              </w:rPr>
              <w:t>Ref. # 23</w:t>
            </w:r>
          </w:p>
        </w:tc>
        <w:tc>
          <w:tcPr>
            <w:tcW w:w="2139" w:type="dxa"/>
          </w:tcPr>
          <w:p w14:paraId="22A5903F" w14:textId="77777777" w:rsidR="008463FB" w:rsidRPr="008463FB" w:rsidRDefault="00E475FF" w:rsidP="008463FB">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TB</w:t>
            </w:r>
          </w:p>
        </w:tc>
        <w:tc>
          <w:tcPr>
            <w:tcW w:w="2189" w:type="dxa"/>
          </w:tcPr>
          <w:p w14:paraId="449B738A" w14:textId="77777777" w:rsidR="008463FB" w:rsidRPr="008463FB" w:rsidRDefault="00E475FF" w:rsidP="00E475FF">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E475FF">
              <w:rPr>
                <w:b w:val="0"/>
                <w:bCs w:val="0"/>
                <w:sz w:val="20"/>
                <w:szCs w:val="20"/>
              </w:rPr>
              <w:t>BCG (SSI Strain)</w:t>
            </w:r>
          </w:p>
        </w:tc>
        <w:tc>
          <w:tcPr>
            <w:tcW w:w="851" w:type="dxa"/>
          </w:tcPr>
          <w:p w14:paraId="1AAC46E2" w14:textId="77777777" w:rsidR="008463FB" w:rsidRPr="008463FB" w:rsidRDefault="00E475FF" w:rsidP="008463FB">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Pr>
                <w:b w:val="0"/>
                <w:bCs w:val="0"/>
                <w:sz w:val="20"/>
                <w:szCs w:val="20"/>
              </w:rPr>
              <w:t>-</w:t>
            </w:r>
          </w:p>
        </w:tc>
        <w:tc>
          <w:tcPr>
            <w:tcW w:w="1150" w:type="dxa"/>
            <w:tcBorders>
              <w:right w:val="single" w:sz="4" w:space="0" w:color="auto"/>
            </w:tcBorders>
          </w:tcPr>
          <w:p w14:paraId="5E280618" w14:textId="77777777" w:rsidR="008463FB" w:rsidRPr="008463FB" w:rsidRDefault="00E475FF" w:rsidP="00E475FF">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E475FF">
              <w:rPr>
                <w:b w:val="0"/>
                <w:bCs w:val="0"/>
                <w:sz w:val="20"/>
                <w:szCs w:val="20"/>
              </w:rPr>
              <w:t>10 participants</w:t>
            </w:r>
          </w:p>
        </w:tc>
        <w:tc>
          <w:tcPr>
            <w:tcW w:w="1594" w:type="dxa"/>
            <w:tcBorders>
              <w:left w:val="single" w:sz="4" w:space="0" w:color="auto"/>
            </w:tcBorders>
          </w:tcPr>
          <w:p w14:paraId="407EB730" w14:textId="77777777" w:rsidR="008463FB" w:rsidRPr="008463FB" w:rsidRDefault="00E475FF" w:rsidP="00E475FF">
            <w:pPr>
              <w:pStyle w:val="Heading1"/>
              <w:jc w:val="center"/>
              <w:outlineLvl w:val="0"/>
              <w:cnfStyle w:val="000000000000" w:firstRow="0" w:lastRow="0" w:firstColumn="0" w:lastColumn="0" w:oddVBand="0" w:evenVBand="0" w:oddHBand="0" w:evenHBand="0" w:firstRowFirstColumn="0" w:firstRowLastColumn="0" w:lastRowFirstColumn="0" w:lastRowLastColumn="0"/>
              <w:rPr>
                <w:b w:val="0"/>
                <w:bCs w:val="0"/>
                <w:sz w:val="20"/>
                <w:szCs w:val="20"/>
              </w:rPr>
            </w:pPr>
            <w:r w:rsidRPr="00E475FF">
              <w:rPr>
                <w:b w:val="0"/>
                <w:bCs w:val="0"/>
                <w:sz w:val="20"/>
                <w:szCs w:val="20"/>
              </w:rPr>
              <w:t>In volunteers who had been vaccinated 0.5-38 years previously with BCG, substantially higher levels of antigen-specific IFN-gamma-secreting T cells were induced, and at 24 weeks after vaccination these levels were 5-30 times greater than in vaccinees administered a single BCG vaccination.</w:t>
            </w:r>
          </w:p>
        </w:tc>
      </w:tr>
    </w:tbl>
    <w:p w14:paraId="228C1B22" w14:textId="77777777" w:rsidR="008C3770" w:rsidRPr="008C3770" w:rsidRDefault="008C3770" w:rsidP="008463FB">
      <w:pPr>
        <w:pStyle w:val="Heading1"/>
        <w:jc w:val="center"/>
        <w:rPr>
          <w:b w:val="0"/>
          <w:bCs w:val="0"/>
          <w:sz w:val="24"/>
          <w:szCs w:val="24"/>
        </w:rPr>
      </w:pPr>
    </w:p>
    <w:p w14:paraId="73F9B3A0" w14:textId="77777777" w:rsidR="000A7E1A" w:rsidRPr="008C3770" w:rsidRDefault="000A7E1A">
      <w:pPr>
        <w:rPr>
          <w:sz w:val="24"/>
          <w:szCs w:val="24"/>
        </w:rPr>
      </w:pPr>
    </w:p>
    <w:sectPr w:rsidR="000A7E1A" w:rsidRPr="008C37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770"/>
    <w:rsid w:val="00090262"/>
    <w:rsid w:val="00091CEE"/>
    <w:rsid w:val="000A7E1A"/>
    <w:rsid w:val="001131E6"/>
    <w:rsid w:val="003B55D1"/>
    <w:rsid w:val="005A0084"/>
    <w:rsid w:val="006D0896"/>
    <w:rsid w:val="007A37FC"/>
    <w:rsid w:val="008463FB"/>
    <w:rsid w:val="008C3770"/>
    <w:rsid w:val="0096513E"/>
    <w:rsid w:val="00A969B6"/>
    <w:rsid w:val="00AB6966"/>
    <w:rsid w:val="00B87828"/>
    <w:rsid w:val="00C77CF1"/>
    <w:rsid w:val="00DA7F73"/>
    <w:rsid w:val="00E475FF"/>
    <w:rsid w:val="00EA496C"/>
    <w:rsid w:val="00ED0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48B36"/>
  <w15:chartTrackingRefBased/>
  <w15:docId w15:val="{DBB670D4-7396-4FC3-B096-2183C017C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C377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3770"/>
    <w:rPr>
      <w:rFonts w:ascii="Times New Roman" w:eastAsia="Times New Roman" w:hAnsi="Times New Roman" w:cs="Times New Roman"/>
      <w:b/>
      <w:bCs/>
      <w:kern w:val="36"/>
      <w:sz w:val="48"/>
      <w:szCs w:val="48"/>
    </w:rPr>
  </w:style>
  <w:style w:type="character" w:customStyle="1" w:styleId="hitinf">
    <w:name w:val="hit_inf"/>
    <w:basedOn w:val="DefaultParagraphFont"/>
    <w:rsid w:val="008C3770"/>
  </w:style>
  <w:style w:type="table" w:styleId="TableGrid">
    <w:name w:val="Table Grid"/>
    <w:basedOn w:val="TableNormal"/>
    <w:uiPriority w:val="39"/>
    <w:rsid w:val="008463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41"/>
    <w:rsid w:val="008463F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53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Microsoft Office User</cp:lastModifiedBy>
  <cp:revision>10</cp:revision>
  <dcterms:created xsi:type="dcterms:W3CDTF">2022-08-09T13:08:00Z</dcterms:created>
  <dcterms:modified xsi:type="dcterms:W3CDTF">2022-11-11T11:00:00Z</dcterms:modified>
</cp:coreProperties>
</file>