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26D" w:rsidRPr="00F15642" w:rsidRDefault="00C6626D" w:rsidP="00C6626D">
      <w:pPr>
        <w:spacing w:line="480" w:lineRule="auto"/>
        <w:ind w:firstLine="706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bookmarkStart w:id="0" w:name="_GoBack"/>
      <w:bookmarkEnd w:id="0"/>
      <w:r w:rsidRPr="00F156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Supporting information 2: </w:t>
      </w:r>
      <w:r w:rsidRPr="00F156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Analytical table comparing the antifungal activity Minimum inhibitory concentration (MIC) and Minimum fungicidal concentration (MFC) of different </w:t>
      </w:r>
      <w:proofErr w:type="spellStart"/>
      <w:r w:rsidRPr="00F156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AuNPs</w:t>
      </w:r>
      <w:proofErr w:type="spellEnd"/>
      <w:r w:rsidRPr="00F156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against laboratory and clinical isolates of </w:t>
      </w:r>
      <w:r w:rsidRPr="00F15642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Candida </w:t>
      </w:r>
      <w:proofErr w:type="spellStart"/>
      <w:r w:rsidRPr="00F15642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tropicalis</w:t>
      </w:r>
      <w:proofErr w:type="spellEnd"/>
      <w:r w:rsidRPr="00F156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. The MFC/MIC ratio was calculated to determine whether the substance had </w:t>
      </w:r>
      <w:proofErr w:type="spellStart"/>
      <w:r w:rsidRPr="00F156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fungistatic</w:t>
      </w:r>
      <w:proofErr w:type="spellEnd"/>
      <w:r w:rsidRPr="00F156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(MFC/MIC ≥4) or fungicidal (MFC/MIC ˂4) activity.</w:t>
      </w:r>
    </w:p>
    <w:p w:rsidR="00CA0CB1" w:rsidRDefault="00CA0CB1"/>
    <w:tbl>
      <w:tblPr>
        <w:tblW w:w="84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1"/>
        <w:gridCol w:w="1678"/>
        <w:gridCol w:w="1704"/>
        <w:gridCol w:w="1691"/>
        <w:gridCol w:w="1691"/>
      </w:tblGrid>
      <w:tr w:rsidR="009E334C" w:rsidRPr="009E334C" w:rsidTr="009E334C">
        <w:trPr>
          <w:trHeight w:val="1241"/>
        </w:trPr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  <w:shd w:val="clear" w:color="auto" w:fill="000000"/>
            <w:tcMar>
              <w:top w:w="7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E334C" w:rsidRPr="009E334C" w:rsidRDefault="009E334C" w:rsidP="006B2E48">
            <w:pPr>
              <w:jc w:val="center"/>
            </w:pPr>
            <w:r w:rsidRPr="009E334C">
              <w:rPr>
                <w:b/>
                <w:bCs/>
                <w:i/>
                <w:iCs/>
                <w:lang w:val="es-AR"/>
              </w:rPr>
              <w:t xml:space="preserve">C. </w:t>
            </w:r>
            <w:proofErr w:type="spellStart"/>
            <w:r w:rsidRPr="009E334C">
              <w:rPr>
                <w:b/>
                <w:bCs/>
                <w:i/>
                <w:iCs/>
                <w:lang w:val="es-AR"/>
              </w:rPr>
              <w:t>tropicalis</w:t>
            </w:r>
            <w:proofErr w:type="spellEnd"/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000000"/>
            <w:tcMar>
              <w:top w:w="7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E334C" w:rsidRPr="009E334C" w:rsidRDefault="009E334C" w:rsidP="006B2E48">
            <w:pPr>
              <w:jc w:val="center"/>
            </w:pPr>
            <w:r w:rsidRPr="009E334C">
              <w:rPr>
                <w:b/>
                <w:bCs/>
              </w:rPr>
              <w:t>MIC</w:t>
            </w:r>
          </w:p>
          <w:p w:rsidR="009E334C" w:rsidRPr="009E334C" w:rsidRDefault="009E334C" w:rsidP="006B2E48">
            <w:pPr>
              <w:jc w:val="center"/>
            </w:pPr>
            <w:r w:rsidRPr="009E334C">
              <w:rPr>
                <w:b/>
                <w:bCs/>
                <w:lang w:val="el-GR"/>
              </w:rPr>
              <w:t>(μ</w:t>
            </w:r>
            <w:r w:rsidRPr="009E334C">
              <w:rPr>
                <w:b/>
                <w:bCs/>
                <w:lang w:val="es-AR"/>
              </w:rPr>
              <w:t>g/</w:t>
            </w:r>
            <w:proofErr w:type="spellStart"/>
            <w:r w:rsidRPr="009E334C">
              <w:rPr>
                <w:b/>
                <w:bCs/>
                <w:lang w:val="es-AR"/>
              </w:rPr>
              <w:t>mL</w:t>
            </w:r>
            <w:proofErr w:type="spellEnd"/>
            <w:r w:rsidRPr="009E334C">
              <w:rPr>
                <w:b/>
                <w:bCs/>
                <w:lang w:val="es-AR"/>
              </w:rPr>
              <w:t>)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000000"/>
            <w:tcMar>
              <w:top w:w="7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E334C" w:rsidRPr="009E334C" w:rsidRDefault="009E334C" w:rsidP="006B2E48">
            <w:pPr>
              <w:jc w:val="center"/>
            </w:pPr>
            <w:r w:rsidRPr="009E334C">
              <w:rPr>
                <w:b/>
                <w:bCs/>
              </w:rPr>
              <w:t>MFC</w:t>
            </w:r>
          </w:p>
          <w:p w:rsidR="009E334C" w:rsidRPr="009E334C" w:rsidRDefault="009E334C" w:rsidP="006B2E48">
            <w:pPr>
              <w:jc w:val="center"/>
            </w:pPr>
            <w:r w:rsidRPr="009E334C">
              <w:rPr>
                <w:b/>
                <w:bCs/>
                <w:lang w:val="el-GR"/>
              </w:rPr>
              <w:t>(μ</w:t>
            </w:r>
            <w:r w:rsidRPr="009E334C">
              <w:rPr>
                <w:b/>
                <w:bCs/>
                <w:lang w:val="es-AR"/>
              </w:rPr>
              <w:t>g/</w:t>
            </w:r>
            <w:proofErr w:type="spellStart"/>
            <w:r w:rsidRPr="009E334C">
              <w:rPr>
                <w:b/>
                <w:bCs/>
                <w:lang w:val="es-AR"/>
              </w:rPr>
              <w:t>mL</w:t>
            </w:r>
            <w:proofErr w:type="spellEnd"/>
            <w:r w:rsidRPr="009E334C">
              <w:rPr>
                <w:b/>
                <w:bCs/>
                <w:lang w:val="es-AR"/>
              </w:rPr>
              <w:t>)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000000"/>
            <w:tcMar>
              <w:top w:w="7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E334C" w:rsidRPr="009E334C" w:rsidRDefault="009E334C" w:rsidP="006B2E48">
            <w:pPr>
              <w:jc w:val="center"/>
            </w:pPr>
            <w:r w:rsidRPr="009E334C">
              <w:rPr>
                <w:b/>
                <w:bCs/>
                <w:lang w:val="es-AR"/>
              </w:rPr>
              <w:t>MFC/MIC ratio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7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E334C" w:rsidRPr="009E334C" w:rsidRDefault="009E334C" w:rsidP="006B2E48">
            <w:pPr>
              <w:jc w:val="center"/>
            </w:pPr>
            <w:r w:rsidRPr="009E334C">
              <w:rPr>
                <w:b/>
                <w:bCs/>
                <w:lang w:val="es-AR"/>
              </w:rPr>
              <w:t>Reference</w:t>
            </w:r>
          </w:p>
        </w:tc>
      </w:tr>
      <w:tr w:rsidR="009E334C" w:rsidRPr="009E334C" w:rsidTr="009E334C">
        <w:trPr>
          <w:trHeight w:val="2631"/>
        </w:trPr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  <w:shd w:val="clear" w:color="auto" w:fill="FFFFFF"/>
            <w:tcMar>
              <w:top w:w="7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E334C" w:rsidRPr="009E334C" w:rsidRDefault="009E334C" w:rsidP="006B2E48">
            <w:pPr>
              <w:jc w:val="center"/>
            </w:pPr>
            <w:r w:rsidRPr="009E334C">
              <w:rPr>
                <w:b/>
                <w:bCs/>
              </w:rPr>
              <w:t xml:space="preserve">Rod-shaped </w:t>
            </w:r>
            <w:proofErr w:type="spellStart"/>
            <w:r w:rsidRPr="009E334C">
              <w:rPr>
                <w:b/>
                <w:bCs/>
                <w:lang w:val="es-AR"/>
              </w:rPr>
              <w:t>AuNPs</w:t>
            </w:r>
            <w:proofErr w:type="spellEnd"/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FFFFFF"/>
            <w:tcMar>
              <w:top w:w="7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E334C" w:rsidRPr="009E334C" w:rsidRDefault="009E334C" w:rsidP="006B2E48">
            <w:pPr>
              <w:jc w:val="center"/>
            </w:pPr>
            <w:r w:rsidRPr="009E334C">
              <w:t>1.56</w:t>
            </w:r>
            <w:r w:rsidRPr="009E334C">
              <w:rPr>
                <w:lang w:val="es-AR"/>
              </w:rPr>
              <w:t>25</w:t>
            </w:r>
            <w:r w:rsidRPr="009E334C">
              <w:t xml:space="preserve"> 10</w:t>
            </w:r>
            <w:r w:rsidRPr="009E334C">
              <w:rPr>
                <w:vertAlign w:val="superscript"/>
              </w:rPr>
              <w:t>-7</w:t>
            </w:r>
          </w:p>
          <w:p w:rsidR="009E334C" w:rsidRPr="009E334C" w:rsidRDefault="009E334C" w:rsidP="006B2E48">
            <w:pPr>
              <w:jc w:val="center"/>
            </w:pPr>
            <w:r w:rsidRPr="009E334C">
              <w:rPr>
                <w:lang w:val="es-AR"/>
              </w:rPr>
              <w:t>3.125</w:t>
            </w:r>
            <w:r w:rsidRPr="009E334C">
              <w:t>10</w:t>
            </w:r>
            <w:r w:rsidRPr="009E334C">
              <w:rPr>
                <w:vertAlign w:val="superscript"/>
              </w:rPr>
              <w:t>-7</w:t>
            </w:r>
            <w:r w:rsidRPr="009E334C">
              <w:t>*</w:t>
            </w:r>
          </w:p>
          <w:p w:rsidR="009E334C" w:rsidRPr="009E334C" w:rsidRDefault="009E334C" w:rsidP="006B2E48">
            <w:pPr>
              <w:jc w:val="center"/>
            </w:pPr>
            <w:r w:rsidRPr="009E334C">
              <w:rPr>
                <w:lang w:val="es-AR"/>
              </w:rPr>
              <w:t>7.812</w:t>
            </w:r>
            <w:r w:rsidRPr="009E334C">
              <w:t>10</w:t>
            </w:r>
            <w:r w:rsidRPr="009E334C">
              <w:rPr>
                <w:vertAlign w:val="superscript"/>
              </w:rPr>
              <w:t>-8</w:t>
            </w:r>
          </w:p>
          <w:p w:rsidR="009E334C" w:rsidRPr="009E334C" w:rsidRDefault="009E334C" w:rsidP="006B2E48">
            <w:pPr>
              <w:jc w:val="center"/>
            </w:pPr>
            <w:r w:rsidRPr="009E334C">
              <w:t>1.56</w:t>
            </w:r>
            <w:r w:rsidRPr="009E334C">
              <w:rPr>
                <w:lang w:val="es-AR"/>
              </w:rPr>
              <w:t>25</w:t>
            </w:r>
            <w:r w:rsidRPr="009E334C">
              <w:t xml:space="preserve"> 10</w:t>
            </w:r>
            <w:r w:rsidRPr="009E334C">
              <w:rPr>
                <w:vertAlign w:val="superscript"/>
              </w:rPr>
              <w:t>-7</w:t>
            </w:r>
            <w:r w:rsidRPr="009E334C">
              <w:t>**</w:t>
            </w:r>
          </w:p>
          <w:p w:rsidR="009E334C" w:rsidRPr="009E334C" w:rsidRDefault="009E334C" w:rsidP="006B2E48">
            <w:pPr>
              <w:jc w:val="center"/>
            </w:pPr>
            <w:r w:rsidRPr="009E334C">
              <w:t>6.25 10</w:t>
            </w:r>
            <w:r w:rsidRPr="009E334C">
              <w:rPr>
                <w:vertAlign w:val="superscript"/>
              </w:rPr>
              <w:t>-7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FFFFFF"/>
            <w:tcMar>
              <w:top w:w="7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E334C" w:rsidRPr="009E334C" w:rsidRDefault="009E334C" w:rsidP="006B2E48">
            <w:pPr>
              <w:jc w:val="center"/>
            </w:pPr>
            <w:r w:rsidRPr="009E334C">
              <w:rPr>
                <w:lang w:val="es-AR"/>
              </w:rPr>
              <w:t>3.125</w:t>
            </w:r>
            <w:r w:rsidRPr="009E334C">
              <w:t>10</w:t>
            </w:r>
            <w:r w:rsidRPr="009E334C">
              <w:rPr>
                <w:vertAlign w:val="superscript"/>
              </w:rPr>
              <w:t>-7</w:t>
            </w:r>
          </w:p>
          <w:p w:rsidR="009E334C" w:rsidRPr="009E334C" w:rsidRDefault="009E334C" w:rsidP="006B2E48">
            <w:pPr>
              <w:jc w:val="center"/>
            </w:pPr>
            <w:r w:rsidRPr="009E334C">
              <w:t>6.25 10</w:t>
            </w:r>
            <w:r w:rsidRPr="009E334C">
              <w:rPr>
                <w:vertAlign w:val="superscript"/>
              </w:rPr>
              <w:t>-7</w:t>
            </w:r>
            <w:r w:rsidRPr="009E334C">
              <w:t>*</w:t>
            </w:r>
          </w:p>
          <w:p w:rsidR="009E334C" w:rsidRPr="009E334C" w:rsidRDefault="009E334C" w:rsidP="006B2E48">
            <w:pPr>
              <w:jc w:val="center"/>
            </w:pPr>
            <w:r w:rsidRPr="009E334C">
              <w:rPr>
                <w:lang w:val="es-AR"/>
              </w:rPr>
              <w:t>3.125</w:t>
            </w:r>
            <w:r w:rsidRPr="009E334C">
              <w:t>10</w:t>
            </w:r>
            <w:r w:rsidRPr="009E334C">
              <w:rPr>
                <w:vertAlign w:val="superscript"/>
              </w:rPr>
              <w:t>-7</w:t>
            </w:r>
          </w:p>
          <w:p w:rsidR="009E334C" w:rsidRPr="009E334C" w:rsidRDefault="009E334C" w:rsidP="006B2E48">
            <w:pPr>
              <w:jc w:val="center"/>
            </w:pPr>
            <w:r w:rsidRPr="009E334C">
              <w:t xml:space="preserve">1.56 </w:t>
            </w:r>
            <w:r w:rsidRPr="009E334C">
              <w:rPr>
                <w:lang w:val="es-AR"/>
              </w:rPr>
              <w:t>25</w:t>
            </w:r>
            <w:r w:rsidRPr="009E334C">
              <w:t>10</w:t>
            </w:r>
            <w:r w:rsidRPr="009E334C">
              <w:rPr>
                <w:vertAlign w:val="superscript"/>
              </w:rPr>
              <w:t>-7</w:t>
            </w:r>
            <w:r w:rsidRPr="009E334C">
              <w:t>**</w:t>
            </w:r>
          </w:p>
          <w:p w:rsidR="009E334C" w:rsidRPr="009E334C" w:rsidRDefault="009E334C" w:rsidP="006B2E48">
            <w:pPr>
              <w:jc w:val="center"/>
            </w:pPr>
            <w:r w:rsidRPr="009E334C">
              <w:t>6.25 10</w:t>
            </w:r>
            <w:r w:rsidRPr="009E334C">
              <w:rPr>
                <w:vertAlign w:val="superscript"/>
              </w:rPr>
              <w:t>-7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FFFFFF"/>
            <w:tcMar>
              <w:top w:w="7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E334C" w:rsidRPr="009E334C" w:rsidRDefault="009E334C" w:rsidP="006B2E48">
            <w:pPr>
              <w:jc w:val="center"/>
            </w:pPr>
            <w:r w:rsidRPr="009E334C">
              <w:rPr>
                <w:lang w:val="es-AR"/>
              </w:rPr>
              <w:t xml:space="preserve">2 </w:t>
            </w:r>
            <w:proofErr w:type="spellStart"/>
            <w:r w:rsidRPr="009E334C">
              <w:rPr>
                <w:lang w:val="es-AR"/>
              </w:rPr>
              <w:t>Fungicidal</w:t>
            </w:r>
            <w:proofErr w:type="spellEnd"/>
          </w:p>
          <w:p w:rsidR="009E334C" w:rsidRPr="009E334C" w:rsidRDefault="009E334C" w:rsidP="006B2E48">
            <w:pPr>
              <w:jc w:val="center"/>
            </w:pPr>
            <w:r w:rsidRPr="009E334C">
              <w:rPr>
                <w:lang w:val="es-AR"/>
              </w:rPr>
              <w:t xml:space="preserve">2 </w:t>
            </w:r>
            <w:proofErr w:type="spellStart"/>
            <w:r w:rsidRPr="009E334C">
              <w:rPr>
                <w:lang w:val="es-AR"/>
              </w:rPr>
              <w:t>Fungicidal</w:t>
            </w:r>
            <w:proofErr w:type="spellEnd"/>
          </w:p>
          <w:p w:rsidR="009E334C" w:rsidRPr="009E334C" w:rsidRDefault="009E334C" w:rsidP="006B2E48">
            <w:pPr>
              <w:jc w:val="center"/>
            </w:pPr>
            <w:r w:rsidRPr="009E334C">
              <w:rPr>
                <w:lang w:val="es-AR"/>
              </w:rPr>
              <w:t xml:space="preserve">8 </w:t>
            </w:r>
            <w:proofErr w:type="spellStart"/>
            <w:r w:rsidRPr="009E334C">
              <w:rPr>
                <w:lang w:val="es-AR"/>
              </w:rPr>
              <w:t>Fungistatic</w:t>
            </w:r>
            <w:proofErr w:type="spellEnd"/>
          </w:p>
          <w:p w:rsidR="009E334C" w:rsidRPr="009E334C" w:rsidRDefault="009E334C" w:rsidP="006B2E48">
            <w:pPr>
              <w:jc w:val="center"/>
            </w:pPr>
            <w:r w:rsidRPr="009E334C">
              <w:rPr>
                <w:lang w:val="es-AR"/>
              </w:rPr>
              <w:t xml:space="preserve">1 </w:t>
            </w:r>
            <w:proofErr w:type="spellStart"/>
            <w:r w:rsidRPr="009E334C">
              <w:rPr>
                <w:lang w:val="es-AR"/>
              </w:rPr>
              <w:t>Fungicidal</w:t>
            </w:r>
            <w:proofErr w:type="spellEnd"/>
          </w:p>
          <w:p w:rsidR="009E334C" w:rsidRPr="009E334C" w:rsidRDefault="009E334C" w:rsidP="006B2E48">
            <w:pPr>
              <w:jc w:val="center"/>
            </w:pPr>
            <w:r w:rsidRPr="009E334C">
              <w:rPr>
                <w:lang w:val="es-AR"/>
              </w:rPr>
              <w:t xml:space="preserve">1 </w:t>
            </w:r>
            <w:proofErr w:type="spellStart"/>
            <w:r w:rsidRPr="009E334C">
              <w:rPr>
                <w:lang w:val="es-AR"/>
              </w:rPr>
              <w:t>Fungicidal</w:t>
            </w:r>
            <w:proofErr w:type="spellEnd"/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" w:type="dxa"/>
              <w:left w:w="51" w:type="dxa"/>
              <w:bottom w:w="0" w:type="dxa"/>
              <w:right w:w="51" w:type="dxa"/>
            </w:tcMar>
            <w:hideMark/>
          </w:tcPr>
          <w:p w:rsidR="009E334C" w:rsidRPr="009E334C" w:rsidRDefault="009E334C" w:rsidP="006B2E48">
            <w:pPr>
              <w:jc w:val="center"/>
            </w:pPr>
          </w:p>
          <w:p w:rsidR="009E334C" w:rsidRPr="009E334C" w:rsidRDefault="009E334C" w:rsidP="006B2E48">
            <w:pPr>
              <w:jc w:val="center"/>
            </w:pPr>
            <w:proofErr w:type="spellStart"/>
            <w:r w:rsidRPr="009E334C">
              <w:rPr>
                <w:lang w:val="es-AR"/>
              </w:rPr>
              <w:t>Piktel</w:t>
            </w:r>
            <w:proofErr w:type="spellEnd"/>
            <w:r w:rsidRPr="009E334C">
              <w:rPr>
                <w:lang w:val="es-AR"/>
              </w:rPr>
              <w:t xml:space="preserve"> E, et al. </w:t>
            </w:r>
            <w:proofErr w:type="spellStart"/>
            <w:r w:rsidRPr="009E334C">
              <w:rPr>
                <w:lang w:val="es-AR"/>
              </w:rPr>
              <w:t>Nanomedicine</w:t>
            </w:r>
            <w:proofErr w:type="spellEnd"/>
            <w:r w:rsidRPr="009E334C">
              <w:rPr>
                <w:lang w:val="es-AR"/>
              </w:rPr>
              <w:t xml:space="preserve"> (</w:t>
            </w:r>
            <w:proofErr w:type="spellStart"/>
            <w:r w:rsidRPr="009E334C">
              <w:rPr>
                <w:lang w:val="es-AR"/>
              </w:rPr>
              <w:t>Lond</w:t>
            </w:r>
            <w:proofErr w:type="spellEnd"/>
            <w:r w:rsidRPr="009E334C">
              <w:rPr>
                <w:lang w:val="es-AR"/>
              </w:rPr>
              <w:t>). 15(28):2733-2752 (2020).</w:t>
            </w:r>
          </w:p>
        </w:tc>
      </w:tr>
      <w:tr w:rsidR="009E334C" w:rsidRPr="009E334C" w:rsidTr="009E334C">
        <w:trPr>
          <w:trHeight w:val="525"/>
        </w:trPr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  <w:shd w:val="clear" w:color="auto" w:fill="FFFFFF"/>
            <w:tcMar>
              <w:top w:w="7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E334C" w:rsidRPr="009E334C" w:rsidRDefault="009E334C" w:rsidP="006B2E48">
            <w:pPr>
              <w:jc w:val="center"/>
            </w:pPr>
            <w:proofErr w:type="spellStart"/>
            <w:r w:rsidRPr="009E334C">
              <w:rPr>
                <w:b/>
                <w:bCs/>
                <w:lang w:val="es-AR"/>
              </w:rPr>
              <w:t>Indolicidin-AuNPs</w:t>
            </w:r>
            <w:proofErr w:type="spellEnd"/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FFFFFF"/>
            <w:tcMar>
              <w:top w:w="7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E334C" w:rsidRPr="009E334C" w:rsidRDefault="009E334C" w:rsidP="006B2E48">
            <w:pPr>
              <w:jc w:val="center"/>
            </w:pPr>
            <w:r w:rsidRPr="009E334C">
              <w:rPr>
                <w:lang w:val="es-AR"/>
              </w:rPr>
              <w:t>150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FFFFFF"/>
            <w:tcMar>
              <w:top w:w="7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E334C" w:rsidRPr="009E334C" w:rsidRDefault="009E334C" w:rsidP="006B2E48">
            <w:pPr>
              <w:jc w:val="center"/>
            </w:pPr>
            <w:r w:rsidRPr="009E334C">
              <w:rPr>
                <w:lang w:val="es-AR"/>
              </w:rPr>
              <w:t>300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FFFFFF"/>
            <w:tcMar>
              <w:top w:w="7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E334C" w:rsidRPr="009E334C" w:rsidRDefault="009E334C" w:rsidP="006B2E48">
            <w:pPr>
              <w:jc w:val="center"/>
            </w:pPr>
            <w:r w:rsidRPr="009E334C">
              <w:rPr>
                <w:lang w:val="es-AR"/>
              </w:rPr>
              <w:t xml:space="preserve">2 </w:t>
            </w:r>
            <w:proofErr w:type="spellStart"/>
            <w:r w:rsidRPr="009E334C">
              <w:rPr>
                <w:lang w:val="es-AR"/>
              </w:rPr>
              <w:t>Fungicidal</w:t>
            </w:r>
            <w:proofErr w:type="spellEnd"/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" w:type="dxa"/>
              <w:left w:w="51" w:type="dxa"/>
              <w:bottom w:w="0" w:type="dxa"/>
              <w:right w:w="51" w:type="dxa"/>
            </w:tcMar>
            <w:hideMark/>
          </w:tcPr>
          <w:p w:rsidR="009E334C" w:rsidRPr="009E334C" w:rsidRDefault="009E334C" w:rsidP="006B2E48">
            <w:pPr>
              <w:jc w:val="center"/>
            </w:pPr>
            <w:r w:rsidRPr="009E334C">
              <w:t xml:space="preserve">de </w:t>
            </w:r>
            <w:proofErr w:type="spellStart"/>
            <w:r w:rsidRPr="009E334C">
              <w:t>Alteriis</w:t>
            </w:r>
            <w:proofErr w:type="spellEnd"/>
            <w:r w:rsidRPr="009E334C">
              <w:t xml:space="preserve"> </w:t>
            </w:r>
            <w:r w:rsidRPr="009E334C">
              <w:rPr>
                <w:lang w:val="es-AR"/>
              </w:rPr>
              <w:t xml:space="preserve">et al. </w:t>
            </w:r>
            <w:proofErr w:type="spellStart"/>
            <w:r w:rsidRPr="009E334C">
              <w:rPr>
                <w:lang w:val="es-AR"/>
              </w:rPr>
              <w:t>Infect</w:t>
            </w:r>
            <w:proofErr w:type="spellEnd"/>
            <w:r w:rsidRPr="009E334C">
              <w:rPr>
                <w:lang w:val="es-AR"/>
              </w:rPr>
              <w:t xml:space="preserve"> </w:t>
            </w:r>
            <w:proofErr w:type="spellStart"/>
            <w:r w:rsidRPr="009E334C">
              <w:rPr>
                <w:lang w:val="es-AR"/>
              </w:rPr>
              <w:t>Drug</w:t>
            </w:r>
            <w:proofErr w:type="spellEnd"/>
            <w:r w:rsidRPr="009E334C">
              <w:rPr>
                <w:lang w:val="es-AR"/>
              </w:rPr>
              <w:t xml:space="preserve"> </w:t>
            </w:r>
            <w:proofErr w:type="spellStart"/>
            <w:r w:rsidRPr="009E334C">
              <w:rPr>
                <w:lang w:val="es-AR"/>
              </w:rPr>
              <w:t>Resist</w:t>
            </w:r>
            <w:proofErr w:type="spellEnd"/>
            <w:r w:rsidRPr="009E334C">
              <w:rPr>
                <w:lang w:val="es-AR"/>
              </w:rPr>
              <w:t>. 3(1:9)15-925 (2018)</w:t>
            </w:r>
          </w:p>
        </w:tc>
      </w:tr>
    </w:tbl>
    <w:p w:rsidR="00CA0CB1" w:rsidRPr="00C6626D" w:rsidRDefault="00CA0CB1" w:rsidP="009E334C">
      <w:r w:rsidRPr="00C6626D">
        <w:t xml:space="preserve">*Number of C. </w:t>
      </w:r>
      <w:proofErr w:type="spellStart"/>
      <w:r w:rsidRPr="00C6626D">
        <w:t>tropicalis</w:t>
      </w:r>
      <w:proofErr w:type="spellEnd"/>
      <w:r w:rsidRPr="00C6626D">
        <w:t xml:space="preserve"> strains = 2; ** = 4 </w:t>
      </w:r>
    </w:p>
    <w:p w:rsidR="00CA0CB1" w:rsidRDefault="00CA0CB1"/>
    <w:p w:rsidR="00CA0CB1" w:rsidRDefault="00CA0CB1"/>
    <w:p w:rsidR="008D1177" w:rsidRDefault="00CA0CB1">
      <w:r w:rsidRPr="00CA0CB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E34C6A" wp14:editId="27F740D2">
                <wp:simplePos x="0" y="0"/>
                <wp:positionH relativeFrom="column">
                  <wp:posOffset>0</wp:posOffset>
                </wp:positionH>
                <wp:positionV relativeFrom="paragraph">
                  <wp:posOffset>4486910</wp:posOffset>
                </wp:positionV>
                <wp:extent cx="6096000" cy="307777"/>
                <wp:effectExtent l="0" t="0" r="0" b="0"/>
                <wp:wrapNone/>
                <wp:docPr id="6" name="CuadroTexto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CC42AE-1123-522A-7748-9FC83DBE5FA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A0CB1" w:rsidRDefault="00CA0CB1" w:rsidP="00CA0CB1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E34C6A" id="_x0000_t202" coordsize="21600,21600" o:spt="202" path="m,l,21600r21600,l21600,xe">
                <v:stroke joinstyle="miter"/>
                <v:path gradientshapeok="t" o:connecttype="rect"/>
              </v:shapetype>
              <v:shape id="CuadroTexto 5" o:spid="_x0000_s1026" type="#_x0000_t202" style="position:absolute;margin-left:0;margin-top:353.3pt;width:480pt;height:2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" filled="f" stroked="f">
                <v:textbox style="mso-fit-shape-to-text:t">
                  <w:txbxContent>
                    <w:p w:rsidR="00CA0CB1" w:rsidRDefault="00CA0CB1" w:rsidP="00CA0CB1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</w:p>
    <w:sectPr w:rsidR="008D1177" w:rsidSect="009E33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B1"/>
    <w:rsid w:val="006B2E48"/>
    <w:rsid w:val="00803495"/>
    <w:rsid w:val="008A0581"/>
    <w:rsid w:val="009C2B92"/>
    <w:rsid w:val="009E334C"/>
    <w:rsid w:val="00C6626D"/>
    <w:rsid w:val="00CA0CB1"/>
    <w:rsid w:val="00CE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049D2A-F4CE-4D40-9943-50A2FA74E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0CB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2022-11-16T20:43:00Z</dcterms:created>
  <dcterms:modified xsi:type="dcterms:W3CDTF">2022-11-16T20:43:00Z</dcterms:modified>
</cp:coreProperties>
</file>