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EA68E" w14:textId="7637489C" w:rsidR="00E829CF" w:rsidRPr="00AD64FC" w:rsidRDefault="00AD64FC" w:rsidP="00AD64FC">
      <w:pPr>
        <w:jc w:val="center"/>
        <w:rPr>
          <w:rFonts w:ascii="Times New Roman" w:hAnsi="Times New Roman" w:cs="Times New Roman"/>
          <w:b/>
          <w:bCs/>
          <w:sz w:val="28"/>
          <w:szCs w:val="28"/>
        </w:rPr>
      </w:pPr>
      <w:r w:rsidRPr="00AD64FC">
        <w:rPr>
          <w:rFonts w:ascii="Times New Roman" w:hAnsi="Times New Roman" w:cs="Times New Roman"/>
          <w:b/>
          <w:bCs/>
          <w:sz w:val="28"/>
          <w:szCs w:val="28"/>
        </w:rPr>
        <w:t>Supplemental methods</w:t>
      </w:r>
      <w:r w:rsidR="00C66D8B">
        <w:rPr>
          <w:rFonts w:ascii="Times New Roman" w:hAnsi="Times New Roman" w:cs="Times New Roman"/>
          <w:b/>
          <w:bCs/>
          <w:sz w:val="28"/>
          <w:szCs w:val="28"/>
        </w:rPr>
        <w:t xml:space="preserve"> and results</w:t>
      </w:r>
    </w:p>
    <w:p w14:paraId="1FE15519" w14:textId="12996E7B" w:rsidR="004A6EE9" w:rsidRDefault="004A6EE9" w:rsidP="00AD64FC">
      <w:pPr>
        <w:spacing w:line="480" w:lineRule="auto"/>
        <w:rPr>
          <w:rFonts w:ascii="Times New Roman" w:hAnsi="Times New Roman" w:cs="Times New Roman"/>
          <w:b/>
          <w:bCs/>
          <w:sz w:val="22"/>
        </w:rPr>
      </w:pPr>
      <w:r>
        <w:rPr>
          <w:rFonts w:ascii="Times New Roman" w:hAnsi="Times New Roman" w:cs="Times New Roman" w:hint="eastAsia"/>
          <w:b/>
          <w:bCs/>
          <w:sz w:val="22"/>
        </w:rPr>
        <w:t>M</w:t>
      </w:r>
      <w:r>
        <w:rPr>
          <w:rFonts w:ascii="Times New Roman" w:hAnsi="Times New Roman" w:cs="Times New Roman"/>
          <w:b/>
          <w:bCs/>
          <w:sz w:val="22"/>
        </w:rPr>
        <w:t>ethods</w:t>
      </w:r>
    </w:p>
    <w:p w14:paraId="299C6E18" w14:textId="7BF654F9" w:rsidR="002D1028" w:rsidRPr="00186FBF" w:rsidRDefault="002D1028" w:rsidP="002D1028">
      <w:pPr>
        <w:spacing w:line="480" w:lineRule="auto"/>
        <w:rPr>
          <w:rFonts w:ascii="Times New Roman" w:hAnsi="Times New Roman" w:cs="Times New Roman"/>
          <w:b/>
          <w:bCs/>
          <w:color w:val="131413"/>
          <w:sz w:val="22"/>
        </w:rPr>
      </w:pPr>
      <w:r>
        <w:rPr>
          <w:rFonts w:ascii="Times New Roman" w:hAnsi="Times New Roman" w:cs="Times New Roman"/>
          <w:b/>
          <w:bCs/>
          <w:color w:val="131413"/>
          <w:sz w:val="22"/>
        </w:rPr>
        <w:t>2.1</w:t>
      </w:r>
      <w:r w:rsidRPr="00186FBF">
        <w:rPr>
          <w:rFonts w:ascii="Times New Roman" w:hAnsi="Times New Roman" w:cs="Times New Roman"/>
          <w:b/>
          <w:bCs/>
          <w:color w:val="131413"/>
          <w:sz w:val="22"/>
        </w:rPr>
        <w:t>Study population</w:t>
      </w:r>
    </w:p>
    <w:p w14:paraId="23301E28" w14:textId="5EB0005E" w:rsidR="002D1028" w:rsidRPr="00CD6AD4" w:rsidRDefault="005A76F2" w:rsidP="00AD64FC">
      <w:pPr>
        <w:spacing w:line="480" w:lineRule="auto"/>
        <w:rPr>
          <w:rFonts w:ascii="Times New Roman" w:eastAsia="等线" w:hAnsi="Times New Roman" w:cs="Times New Roman"/>
          <w:color w:val="000000"/>
          <w:sz w:val="22"/>
        </w:rPr>
      </w:pPr>
      <w:r w:rsidRPr="00186FBF">
        <w:rPr>
          <w:rFonts w:ascii="Times New Roman" w:hAnsi="Times New Roman" w:cs="Times New Roman"/>
          <w:color w:val="000000"/>
          <w:sz w:val="22"/>
        </w:rPr>
        <w:t>After informed consent</w:t>
      </w:r>
      <w:r w:rsidRPr="00186FBF">
        <w:rPr>
          <w:rFonts w:ascii="Times New Roman" w:eastAsia="等线" w:hAnsi="Times New Roman" w:cs="Times New Roman"/>
          <w:color w:val="000000"/>
          <w:sz w:val="22"/>
        </w:rPr>
        <w:t xml:space="preserve"> was obtained from all participants, whole blood samples were </w:t>
      </w:r>
      <w:r w:rsidRPr="00186FBF">
        <w:rPr>
          <w:rFonts w:ascii="Times New Roman" w:hAnsi="Times New Roman" w:cs="Times New Roman"/>
          <w:color w:val="000000"/>
          <w:sz w:val="22"/>
        </w:rPr>
        <w:t>collected before IUD insertion.</w:t>
      </w:r>
      <w:r w:rsidR="00CD6AD4">
        <w:rPr>
          <w:rFonts w:ascii="Times New Roman" w:hAnsi="Times New Roman" w:cs="Times New Roman"/>
          <w:color w:val="000000"/>
          <w:sz w:val="22"/>
        </w:rPr>
        <w:t xml:space="preserve"> </w:t>
      </w:r>
      <w:r w:rsidR="00CD6AD4" w:rsidRPr="00CD6AD4">
        <w:rPr>
          <w:rFonts w:ascii="Times New Roman" w:eastAsia="等线" w:hAnsi="Times New Roman" w:cs="Times New Roman"/>
          <w:color w:val="000000"/>
          <w:sz w:val="22"/>
        </w:rPr>
        <w:t>In the screening stage, the mean age of the cases was 32.25 years at the date of IUD insertion, whereas the mean age of controls was 33.2 years. In validation stage, the mean age of the cases was 30.36 years at the date of IUD insertion, whereas the mean age of controls was 30.70 years at the date of IUD insertion.</w:t>
      </w:r>
    </w:p>
    <w:p w14:paraId="2FF17E7A" w14:textId="1D31F06D" w:rsidR="00AD64FC" w:rsidRPr="00AD64FC" w:rsidRDefault="00AD64FC" w:rsidP="00AD64FC">
      <w:pPr>
        <w:spacing w:line="480" w:lineRule="auto"/>
        <w:rPr>
          <w:rFonts w:ascii="Times New Roman" w:hAnsi="Times New Roman" w:cs="Times New Roman"/>
          <w:b/>
          <w:bCs/>
          <w:color w:val="131413"/>
          <w:sz w:val="22"/>
        </w:rPr>
      </w:pPr>
      <w:r>
        <w:rPr>
          <w:rFonts w:ascii="Times New Roman" w:hAnsi="Times New Roman" w:cs="Times New Roman"/>
          <w:b/>
          <w:bCs/>
          <w:sz w:val="22"/>
        </w:rPr>
        <w:t>2.2</w:t>
      </w:r>
      <w:r w:rsidRPr="00186FBF">
        <w:rPr>
          <w:rFonts w:ascii="Times New Roman" w:hAnsi="Times New Roman" w:cs="Times New Roman"/>
          <w:b/>
          <w:bCs/>
          <w:sz w:val="22"/>
        </w:rPr>
        <w:t>Whole exome sequencing (WES)</w:t>
      </w:r>
    </w:p>
    <w:p w14:paraId="5380B320" w14:textId="77777777" w:rsidR="00AD64FC" w:rsidRPr="00186FBF" w:rsidRDefault="00AD64FC" w:rsidP="00AD64FC">
      <w:pPr>
        <w:spacing w:line="480" w:lineRule="auto"/>
        <w:rPr>
          <w:rFonts w:ascii="Times New Roman" w:eastAsia="等线" w:hAnsi="Times New Roman" w:cs="Times New Roman"/>
          <w:sz w:val="22"/>
        </w:rPr>
      </w:pPr>
      <w:r w:rsidRPr="00186FBF">
        <w:rPr>
          <w:rFonts w:ascii="Times New Roman" w:eastAsia="等线" w:hAnsi="Times New Roman" w:cs="Times New Roman"/>
          <w:sz w:val="22"/>
        </w:rPr>
        <w:tab/>
        <w:t>Genomic DNA was extracted from whole blood samples using a DNA extraction kit (Qiagen, Hilden, Germany), according to the manufacturer’s instructions. DNA was stored at −80</w:t>
      </w:r>
      <w:r w:rsidRPr="00186FBF">
        <w:rPr>
          <w:rFonts w:ascii="Times New Roman" w:eastAsia="宋体" w:hAnsi="Times New Roman" w:cs="Times New Roman"/>
          <w:sz w:val="22"/>
        </w:rPr>
        <w:t xml:space="preserve"> °C until further processing</w:t>
      </w:r>
      <w:r w:rsidRPr="00186FBF">
        <w:rPr>
          <w:rFonts w:ascii="Times New Roman" w:eastAsia="等线" w:hAnsi="Times New Roman" w:cs="Times New Roman"/>
          <w:sz w:val="22"/>
        </w:rPr>
        <w:t xml:space="preserve">. Following the manufacturer's protocol, 200 ng of genomic DNA from each individual was sheared by </w:t>
      </w:r>
      <w:proofErr w:type="spellStart"/>
      <w:r w:rsidRPr="00186FBF">
        <w:rPr>
          <w:rFonts w:ascii="Times New Roman" w:eastAsia="等线" w:hAnsi="Times New Roman" w:cs="Times New Roman"/>
          <w:sz w:val="22"/>
        </w:rPr>
        <w:t>Biorupter</w:t>
      </w:r>
      <w:proofErr w:type="spellEnd"/>
      <w:r w:rsidRPr="00186FBF">
        <w:rPr>
          <w:rFonts w:ascii="Times New Roman" w:eastAsia="等线" w:hAnsi="Times New Roman" w:cs="Times New Roman"/>
          <w:sz w:val="22"/>
        </w:rPr>
        <w:t xml:space="preserve"> (</w:t>
      </w:r>
      <w:proofErr w:type="spellStart"/>
      <w:r w:rsidRPr="00186FBF">
        <w:rPr>
          <w:rFonts w:ascii="Times New Roman" w:eastAsia="等线" w:hAnsi="Times New Roman" w:cs="Times New Roman"/>
          <w:sz w:val="22"/>
        </w:rPr>
        <w:t>Diagenode</w:t>
      </w:r>
      <w:proofErr w:type="spellEnd"/>
      <w:r w:rsidRPr="00186FBF">
        <w:rPr>
          <w:rFonts w:ascii="Times New Roman" w:eastAsia="等线" w:hAnsi="Times New Roman" w:cs="Times New Roman"/>
          <w:sz w:val="22"/>
        </w:rPr>
        <w:t xml:space="preserve">, Belgium) to acquire 150–200 bp fragments. The ends of the DNA fragments were repaired, and Illumina Adapter was added (Fast Library Prep Kit, </w:t>
      </w:r>
      <w:proofErr w:type="spellStart"/>
      <w:r w:rsidRPr="00186FBF">
        <w:rPr>
          <w:rFonts w:ascii="Times New Roman" w:eastAsia="等线" w:hAnsi="Times New Roman" w:cs="Times New Roman"/>
          <w:sz w:val="22"/>
        </w:rPr>
        <w:t>iGeneTech</w:t>
      </w:r>
      <w:proofErr w:type="spellEnd"/>
      <w:r w:rsidRPr="00186FBF">
        <w:rPr>
          <w:rFonts w:ascii="Times New Roman" w:eastAsia="等线" w:hAnsi="Times New Roman" w:cs="Times New Roman"/>
          <w:sz w:val="22"/>
        </w:rPr>
        <w:t xml:space="preserve">, Beijing, China). After sequencing, libraries were constructed, and the whole exomes were captured using the </w:t>
      </w:r>
      <w:proofErr w:type="spellStart"/>
      <w:r w:rsidRPr="00186FBF">
        <w:rPr>
          <w:rFonts w:ascii="Times New Roman" w:eastAsia="等线" w:hAnsi="Times New Roman" w:cs="Times New Roman"/>
          <w:sz w:val="22"/>
        </w:rPr>
        <w:t>AIExome</w:t>
      </w:r>
      <w:proofErr w:type="spellEnd"/>
      <w:r w:rsidRPr="00186FBF">
        <w:rPr>
          <w:rFonts w:ascii="Times New Roman" w:eastAsia="等线" w:hAnsi="Times New Roman" w:cs="Times New Roman"/>
          <w:sz w:val="22"/>
        </w:rPr>
        <w:t xml:space="preserve"> Enrichment Kit V1 (</w:t>
      </w:r>
      <w:proofErr w:type="spellStart"/>
      <w:r w:rsidRPr="00186FBF">
        <w:rPr>
          <w:rFonts w:ascii="Times New Roman" w:eastAsia="等线" w:hAnsi="Times New Roman" w:cs="Times New Roman"/>
          <w:sz w:val="22"/>
        </w:rPr>
        <w:t>iGeneTech,Beijing</w:t>
      </w:r>
      <w:proofErr w:type="spellEnd"/>
      <w:r w:rsidRPr="00186FBF">
        <w:rPr>
          <w:rFonts w:ascii="Times New Roman" w:eastAsia="等线" w:hAnsi="Times New Roman" w:cs="Times New Roman"/>
          <w:sz w:val="22"/>
        </w:rPr>
        <w:t xml:space="preserve">, China) and sequenced on an Illumina </w:t>
      </w:r>
      <w:proofErr w:type="spellStart"/>
      <w:r w:rsidRPr="00186FBF">
        <w:rPr>
          <w:rFonts w:ascii="Times New Roman" w:eastAsia="等线" w:hAnsi="Times New Roman" w:cs="Times New Roman"/>
          <w:sz w:val="22"/>
        </w:rPr>
        <w:t>NovaSeq</w:t>
      </w:r>
      <w:proofErr w:type="spellEnd"/>
      <w:r w:rsidRPr="00186FBF">
        <w:rPr>
          <w:rFonts w:ascii="Times New Roman" w:eastAsia="等线" w:hAnsi="Times New Roman" w:cs="Times New Roman"/>
          <w:sz w:val="22"/>
        </w:rPr>
        <w:t xml:space="preserve"> 6000 (Illumina, San Diego, CA) next generation sequencing platform, with 150 paired</w:t>
      </w:r>
      <w:r w:rsidRPr="00186FBF">
        <w:rPr>
          <w:rFonts w:ascii="Times New Roman" w:eastAsia="等线" w:hAnsi="Times New Roman" w:cs="Times New Roman" w:hint="eastAsia"/>
          <w:sz w:val="22"/>
        </w:rPr>
        <w:t>‐</w:t>
      </w:r>
      <w:r w:rsidRPr="00186FBF">
        <w:rPr>
          <w:rFonts w:ascii="Times New Roman" w:eastAsia="等线" w:hAnsi="Times New Roman" w:cs="Times New Roman"/>
          <w:sz w:val="22"/>
        </w:rPr>
        <w:t xml:space="preserve">end reads. </w:t>
      </w:r>
    </w:p>
    <w:p w14:paraId="0B64A4AD" w14:textId="024D0BB1" w:rsidR="00AD64FC" w:rsidRDefault="00AD64FC" w:rsidP="00AD64FC">
      <w:pPr>
        <w:spacing w:line="480" w:lineRule="auto"/>
        <w:ind w:firstLine="420"/>
        <w:rPr>
          <w:rFonts w:ascii="Times New Roman" w:hAnsi="Times New Roman" w:cs="Times New Roman"/>
          <w:sz w:val="22"/>
        </w:rPr>
      </w:pPr>
      <w:r w:rsidRPr="00186FBF">
        <w:rPr>
          <w:rFonts w:ascii="Times New Roman" w:hAnsi="Times New Roman" w:cs="Times New Roman"/>
          <w:sz w:val="22"/>
        </w:rPr>
        <w:t xml:space="preserve">WES data were analyzed using the standard pipeline. First, the raw reads were filtered to remove low-quality reads using </w:t>
      </w:r>
      <w:proofErr w:type="spellStart"/>
      <w:r w:rsidRPr="00186FBF">
        <w:rPr>
          <w:rFonts w:ascii="Times New Roman" w:hAnsi="Times New Roman" w:cs="Times New Roman"/>
          <w:sz w:val="22"/>
        </w:rPr>
        <w:t>FastQC</w:t>
      </w:r>
      <w:proofErr w:type="spellEnd"/>
      <w:r w:rsidRPr="00186FBF">
        <w:rPr>
          <w:rFonts w:ascii="Times New Roman" w:hAnsi="Times New Roman" w:cs="Times New Roman"/>
          <w:sz w:val="22"/>
        </w:rPr>
        <w:t xml:space="preserve">. Clean reads were </w:t>
      </w:r>
      <w:r w:rsidRPr="00186FBF">
        <w:rPr>
          <w:rFonts w:ascii="Times New Roman" w:eastAsia="宋体" w:hAnsi="Times New Roman" w:cs="Times New Roman"/>
          <w:sz w:val="22"/>
        </w:rPr>
        <w:t xml:space="preserve">then mapped to the reference genome GRCh37 </w:t>
      </w:r>
      <w:r w:rsidRPr="00186FBF">
        <w:rPr>
          <w:rFonts w:ascii="Times New Roman" w:hAnsi="Times New Roman" w:cs="Times New Roman"/>
          <w:sz w:val="22"/>
        </w:rPr>
        <w:t xml:space="preserve">(hg19) using </w:t>
      </w:r>
      <w:r w:rsidRPr="00186FBF">
        <w:rPr>
          <w:rFonts w:ascii="Times New Roman" w:eastAsia="等线" w:hAnsi="Times New Roman" w:cs="Times New Roman"/>
          <w:sz w:val="22"/>
        </w:rPr>
        <w:t>Burrows-Wheeler alignment (BWA</w:t>
      </w:r>
      <w:r w:rsidRPr="00186FBF">
        <w:rPr>
          <w:rFonts w:ascii="Times New Roman" w:hAnsi="Times New Roman" w:cs="Times New Roman"/>
          <w:sz w:val="22"/>
        </w:rPr>
        <w:t xml:space="preserve">). After removing duplications, single nucleotide variants (SNVs) and indels were identified using the Genome </w:t>
      </w:r>
      <w:r w:rsidRPr="00186FBF">
        <w:rPr>
          <w:rFonts w:ascii="Times New Roman" w:hAnsi="Times New Roman" w:cs="Times New Roman"/>
          <w:sz w:val="22"/>
        </w:rPr>
        <w:lastRenderedPageBreak/>
        <w:t>Analysis Toolkit</w:t>
      </w:r>
      <w:r w:rsidRPr="00186FBF">
        <w:rPr>
          <w:rFonts w:ascii="Times New Roman" w:eastAsia="宋体" w:hAnsi="Times New Roman" w:cs="Times New Roman"/>
          <w:sz w:val="22"/>
        </w:rPr>
        <w:t xml:space="preserve"> (GATK)</w:t>
      </w:r>
      <w:r w:rsidRPr="00186FBF">
        <w:rPr>
          <w:rFonts w:ascii="Times New Roman" w:eastAsia="等线" w:hAnsi="Times New Roman" w:cs="Times New Roman"/>
          <w:sz w:val="22"/>
        </w:rPr>
        <w:t>, and</w:t>
      </w:r>
      <w:r w:rsidRPr="00186FBF">
        <w:rPr>
          <w:rFonts w:ascii="Times New Roman" w:hAnsi="Times New Roman" w:cs="Times New Roman"/>
          <w:sz w:val="22"/>
        </w:rPr>
        <w:t xml:space="preserve"> the intersection of the mutation sets of all patients was analyzed.</w:t>
      </w:r>
    </w:p>
    <w:p w14:paraId="60687E24" w14:textId="6795815A" w:rsidR="006D1A13" w:rsidRPr="006D1A13" w:rsidRDefault="006D1A13" w:rsidP="006D1A13">
      <w:pPr>
        <w:spacing w:line="480" w:lineRule="auto"/>
        <w:rPr>
          <w:rFonts w:ascii="Times New Roman" w:hAnsi="Times New Roman" w:cs="Times New Roman"/>
          <w:b/>
          <w:bCs/>
          <w:sz w:val="18"/>
          <w:szCs w:val="18"/>
          <w:highlight w:val="yellow"/>
        </w:rPr>
      </w:pPr>
      <w:r w:rsidRPr="00D02A91">
        <w:rPr>
          <w:rFonts w:ascii="Times New Roman" w:hAnsi="Times New Roman" w:cs="Times New Roman"/>
          <w:b/>
          <w:bCs/>
          <w:sz w:val="18"/>
          <w:szCs w:val="18"/>
        </w:rPr>
        <w:t xml:space="preserve">2.2.1 Identification of rare </w:t>
      </w:r>
      <w:r>
        <w:rPr>
          <w:rFonts w:ascii="Times New Roman" w:hAnsi="Times New Roman" w:cs="Times New Roman"/>
          <w:b/>
          <w:bCs/>
          <w:sz w:val="18"/>
          <w:szCs w:val="18"/>
        </w:rPr>
        <w:t xml:space="preserve">potentially-pathogenic </w:t>
      </w:r>
      <w:r w:rsidRPr="00D02A91">
        <w:rPr>
          <w:rFonts w:ascii="Times New Roman" w:hAnsi="Times New Roman" w:cs="Times New Roman"/>
          <w:b/>
          <w:bCs/>
          <w:sz w:val="18"/>
          <w:szCs w:val="18"/>
        </w:rPr>
        <w:t>variants</w:t>
      </w:r>
    </w:p>
    <w:p w14:paraId="1F4868ED" w14:textId="05E29486" w:rsidR="00113242" w:rsidRPr="00113242" w:rsidRDefault="00113242" w:rsidP="00113242">
      <w:pPr>
        <w:spacing w:line="480" w:lineRule="auto"/>
        <w:ind w:firstLineChars="100" w:firstLine="220"/>
        <w:rPr>
          <w:rFonts w:ascii="Times New Roman" w:hAnsi="Times New Roman" w:cs="Times New Roman"/>
          <w:sz w:val="22"/>
        </w:rPr>
      </w:pPr>
      <w:r w:rsidRPr="00113242">
        <w:rPr>
          <w:rFonts w:ascii="Times New Roman" w:hAnsi="Times New Roman" w:cs="Times New Roman"/>
          <w:sz w:val="22"/>
        </w:rPr>
        <w:t>The minor allele frequencies of the most promising candidate pathogenic variants were screened using public databases, including</w:t>
      </w:r>
      <w:r w:rsidR="00CA63EA">
        <w:rPr>
          <w:rFonts w:ascii="Times New Roman" w:hAnsi="Times New Roman" w:cs="Times New Roman"/>
          <w:sz w:val="22"/>
        </w:rPr>
        <w:t xml:space="preserve"> </w:t>
      </w:r>
      <w:r w:rsidRPr="00113242">
        <w:rPr>
          <w:rFonts w:ascii="Times New Roman" w:hAnsi="Times New Roman" w:cs="Times New Roman"/>
          <w:sz w:val="22"/>
        </w:rPr>
        <w:t xml:space="preserve">1000 Genomes Project </w:t>
      </w:r>
      <w:r w:rsidRPr="00113242">
        <w:rPr>
          <w:rFonts w:ascii="Times New Roman" w:hAnsi="Times New Roman" w:cs="Times New Roman" w:hint="eastAsia"/>
          <w:sz w:val="22"/>
        </w:rPr>
        <w:t>(</w:t>
      </w:r>
      <w:hyperlink r:id="rId6" w:history="1">
        <w:r w:rsidRPr="00113242">
          <w:rPr>
            <w:rFonts w:ascii="Times New Roman" w:hAnsi="Times New Roman" w:cs="Times New Roman" w:hint="eastAsia"/>
            <w:sz w:val="22"/>
          </w:rPr>
          <w:t>http://www.1000genomes.org</w:t>
        </w:r>
      </w:hyperlink>
      <w:r w:rsidRPr="00113242">
        <w:rPr>
          <w:rFonts w:ascii="Times New Roman" w:hAnsi="Times New Roman" w:cs="Times New Roman" w:hint="eastAsia"/>
          <w:sz w:val="22"/>
        </w:rPr>
        <w:t>)</w:t>
      </w:r>
      <w:r w:rsidRPr="00113242">
        <w:rPr>
          <w:rFonts w:ascii="Times New Roman" w:hAnsi="Times New Roman" w:cs="Times New Roman"/>
          <w:sz w:val="22"/>
        </w:rPr>
        <w:t xml:space="preserve">, </w:t>
      </w:r>
      <w:r w:rsidRPr="00113242">
        <w:rPr>
          <w:rFonts w:ascii="Times New Roman" w:hAnsi="Times New Roman" w:cs="Times New Roman" w:hint="eastAsia"/>
          <w:sz w:val="22"/>
        </w:rPr>
        <w:t>Exome Aggregation Consortium</w:t>
      </w:r>
      <w:r w:rsidRPr="00113242">
        <w:rPr>
          <w:rFonts w:ascii="Times New Roman" w:hAnsi="Times New Roman" w:cs="Times New Roman"/>
          <w:sz w:val="22"/>
        </w:rPr>
        <w:t xml:space="preserve"> (</w:t>
      </w:r>
      <w:proofErr w:type="spellStart"/>
      <w:r w:rsidRPr="00113242">
        <w:rPr>
          <w:rFonts w:ascii="Times New Roman" w:hAnsi="Times New Roman" w:cs="Times New Roman"/>
          <w:sz w:val="22"/>
        </w:rPr>
        <w:t>ExAC</w:t>
      </w:r>
      <w:proofErr w:type="spellEnd"/>
      <w:r w:rsidRPr="00113242">
        <w:rPr>
          <w:rFonts w:ascii="Times New Roman" w:hAnsi="Times New Roman" w:cs="Times New Roman"/>
          <w:sz w:val="22"/>
        </w:rPr>
        <w:t xml:space="preserve">) </w:t>
      </w:r>
      <w:r w:rsidRPr="00113242">
        <w:rPr>
          <w:rFonts w:ascii="Times New Roman" w:hAnsi="Times New Roman" w:cs="Times New Roman" w:hint="eastAsia"/>
          <w:sz w:val="22"/>
        </w:rPr>
        <w:t>(</w:t>
      </w:r>
      <w:hyperlink r:id="rId7" w:history="1">
        <w:r w:rsidRPr="00113242">
          <w:rPr>
            <w:rFonts w:ascii="Times New Roman" w:hAnsi="Times New Roman" w:cs="Times New Roman" w:hint="eastAsia"/>
            <w:sz w:val="22"/>
          </w:rPr>
          <w:t>http://exac.broadinstitute.org</w:t>
        </w:r>
      </w:hyperlink>
      <w:r w:rsidRPr="00113242">
        <w:rPr>
          <w:rFonts w:ascii="Times New Roman" w:hAnsi="Times New Roman" w:cs="Times New Roman"/>
          <w:sz w:val="22"/>
        </w:rPr>
        <w:t>), and the Genome Aggregation Database (</w:t>
      </w:r>
      <w:proofErr w:type="spellStart"/>
      <w:r w:rsidRPr="00113242">
        <w:rPr>
          <w:rFonts w:ascii="Times New Roman" w:hAnsi="Times New Roman" w:cs="Times New Roman"/>
          <w:sz w:val="22"/>
        </w:rPr>
        <w:t>gnomAD</w:t>
      </w:r>
      <w:proofErr w:type="spellEnd"/>
      <w:r w:rsidRPr="00113242">
        <w:rPr>
          <w:rFonts w:ascii="Times New Roman" w:hAnsi="Times New Roman" w:cs="Times New Roman"/>
          <w:sz w:val="22"/>
        </w:rPr>
        <w:t>).</w:t>
      </w:r>
    </w:p>
    <w:p w14:paraId="60C647FC" w14:textId="479A0AE3" w:rsidR="005405CC" w:rsidRPr="005405CC" w:rsidRDefault="005405CC" w:rsidP="00E51141">
      <w:pPr>
        <w:spacing w:line="480" w:lineRule="auto"/>
        <w:ind w:firstLineChars="100" w:firstLine="220"/>
        <w:rPr>
          <w:rFonts w:ascii="Times New Roman" w:hAnsi="Times New Roman" w:cs="Times New Roman"/>
          <w:sz w:val="22"/>
        </w:rPr>
      </w:pPr>
      <w:r>
        <w:rPr>
          <w:rFonts w:ascii="Times New Roman" w:hAnsi="Times New Roman" w:cs="Times New Roman"/>
          <w:sz w:val="22"/>
        </w:rPr>
        <w:t>The significant SNVs (P&lt;0.05) were classified according to</w:t>
      </w:r>
      <w:r w:rsidRPr="000066C2">
        <w:rPr>
          <w:rFonts w:ascii="Times New Roman" w:hAnsi="Times New Roman" w:cs="Times New Roman"/>
          <w:sz w:val="22"/>
        </w:rPr>
        <w:t xml:space="preserve"> damaging</w:t>
      </w:r>
      <w:r>
        <w:rPr>
          <w:rFonts w:ascii="Times New Roman" w:hAnsi="Times New Roman" w:cs="Times New Roman" w:hint="eastAsia"/>
          <w:sz w:val="22"/>
        </w:rPr>
        <w:t xml:space="preserve"> </w:t>
      </w:r>
      <w:r w:rsidRPr="000066C2">
        <w:rPr>
          <w:rFonts w:ascii="Times New Roman" w:hAnsi="Times New Roman" w:cs="Times New Roman"/>
          <w:sz w:val="22"/>
        </w:rPr>
        <w:t>or probably damaging</w:t>
      </w:r>
      <w:r>
        <w:rPr>
          <w:rFonts w:ascii="Times New Roman" w:hAnsi="Times New Roman" w:cs="Times New Roman"/>
          <w:sz w:val="22"/>
        </w:rPr>
        <w:t xml:space="preserve"> prediction. </w:t>
      </w:r>
      <w:r w:rsidR="00E51141">
        <w:rPr>
          <w:rFonts w:ascii="Times New Roman" w:hAnsi="Times New Roman" w:cs="Times New Roman"/>
          <w:sz w:val="22"/>
        </w:rPr>
        <w:t>P</w:t>
      </w:r>
      <w:r w:rsidRPr="000066C2">
        <w:rPr>
          <w:rFonts w:ascii="Times New Roman" w:hAnsi="Times New Roman" w:cs="Times New Roman"/>
          <w:sz w:val="22"/>
        </w:rPr>
        <w:t xml:space="preserve">redictive software tools </w:t>
      </w:r>
      <w:r w:rsidR="00E51141">
        <w:rPr>
          <w:rFonts w:ascii="Times New Roman" w:hAnsi="Times New Roman" w:cs="Times New Roman"/>
          <w:sz w:val="22"/>
        </w:rPr>
        <w:t>were listed:</w:t>
      </w:r>
      <w:r w:rsidRPr="000066C2">
        <w:rPr>
          <w:rFonts w:ascii="Times New Roman" w:hAnsi="Times New Roman" w:cs="Times New Roman"/>
          <w:sz w:val="22"/>
        </w:rPr>
        <w:t xml:space="preserve"> PROVEAN</w:t>
      </w:r>
      <w:r>
        <w:rPr>
          <w:rFonts w:ascii="Times New Roman" w:hAnsi="Times New Roman" w:cs="Times New Roman" w:hint="eastAsia"/>
          <w:sz w:val="22"/>
        </w:rPr>
        <w:t xml:space="preserve"> </w:t>
      </w:r>
      <w:r w:rsidRPr="000066C2">
        <w:rPr>
          <w:rFonts w:ascii="Times New Roman" w:hAnsi="Times New Roman" w:cs="Times New Roman"/>
          <w:sz w:val="22"/>
        </w:rPr>
        <w:t xml:space="preserve">(http://provean.jcvi.org/index.php), SIFT (http://sift.jcvi.org/), Polyphen-2 (http://genetics.bwh.harvard.edu/pph2/), </w:t>
      </w:r>
      <w:proofErr w:type="spellStart"/>
      <w:r w:rsidRPr="00524EC0">
        <w:rPr>
          <w:rFonts w:ascii="Times New Roman" w:hAnsi="Times New Roman" w:cs="Times New Roman"/>
          <w:sz w:val="22"/>
        </w:rPr>
        <w:t>MutationAssessor</w:t>
      </w:r>
      <w:proofErr w:type="spellEnd"/>
      <w:r>
        <w:rPr>
          <w:rFonts w:ascii="Times New Roman" w:hAnsi="Times New Roman" w:cs="Times New Roman"/>
          <w:sz w:val="22"/>
        </w:rPr>
        <w:t>,</w:t>
      </w:r>
      <w:r w:rsidRPr="00524EC0">
        <w:t xml:space="preserve"> </w:t>
      </w:r>
      <w:r w:rsidRPr="00524EC0">
        <w:rPr>
          <w:rFonts w:ascii="Times New Roman" w:hAnsi="Times New Roman" w:cs="Times New Roman"/>
          <w:sz w:val="22"/>
        </w:rPr>
        <w:t>Combined Annotation Dependent Depletion (cadd.gs.washington.edu)</w:t>
      </w:r>
      <w:r>
        <w:rPr>
          <w:rFonts w:ascii="Times New Roman" w:hAnsi="Times New Roman" w:cs="Times New Roman"/>
          <w:sz w:val="22"/>
        </w:rPr>
        <w:t>,</w:t>
      </w:r>
      <w:r w:rsidRPr="005413DA">
        <w:rPr>
          <w:rFonts w:ascii="Times New Roman" w:hAnsi="Times New Roman" w:cs="Times New Roman"/>
          <w:sz w:val="22"/>
        </w:rPr>
        <w:t xml:space="preserve"> </w:t>
      </w:r>
      <w:r w:rsidR="005413DA" w:rsidRPr="005413DA">
        <w:rPr>
          <w:rFonts w:ascii="Times New Roman" w:hAnsi="Times New Roman" w:cs="Times New Roman"/>
          <w:sz w:val="22"/>
        </w:rPr>
        <w:t xml:space="preserve">LRT, </w:t>
      </w:r>
      <w:r w:rsidRPr="00524EC0">
        <w:rPr>
          <w:rFonts w:ascii="Times New Roman" w:hAnsi="Times New Roman" w:cs="Times New Roman"/>
          <w:sz w:val="22"/>
        </w:rPr>
        <w:t>FATHMM</w:t>
      </w:r>
      <w:r>
        <w:rPr>
          <w:rFonts w:ascii="Times New Roman" w:hAnsi="Times New Roman" w:cs="Times New Roman"/>
          <w:sz w:val="22"/>
        </w:rPr>
        <w:t xml:space="preserve">, </w:t>
      </w:r>
      <w:r w:rsidR="00B2003C" w:rsidRPr="00B2003C">
        <w:rPr>
          <w:rFonts w:ascii="Times New Roman" w:hAnsi="Times New Roman" w:cs="Times New Roman"/>
          <w:sz w:val="22"/>
        </w:rPr>
        <w:t xml:space="preserve">GERP++, </w:t>
      </w:r>
      <w:proofErr w:type="spellStart"/>
      <w:r w:rsidR="00B2003C" w:rsidRPr="00B2003C">
        <w:rPr>
          <w:rFonts w:ascii="Times New Roman" w:hAnsi="Times New Roman" w:cs="Times New Roman"/>
          <w:sz w:val="22"/>
        </w:rPr>
        <w:t>fathmm</w:t>
      </w:r>
      <w:proofErr w:type="spellEnd"/>
      <w:r w:rsidR="00B2003C" w:rsidRPr="00B2003C">
        <w:rPr>
          <w:rFonts w:ascii="Times New Roman" w:hAnsi="Times New Roman" w:cs="Times New Roman"/>
          <w:sz w:val="22"/>
        </w:rPr>
        <w:t xml:space="preserve">-MKL </w:t>
      </w:r>
      <w:r w:rsidRPr="000066C2">
        <w:rPr>
          <w:rFonts w:ascii="Times New Roman" w:hAnsi="Times New Roman" w:cs="Times New Roman"/>
          <w:sz w:val="22"/>
        </w:rPr>
        <w:t xml:space="preserve">and </w:t>
      </w:r>
      <w:proofErr w:type="spellStart"/>
      <w:r w:rsidRPr="000066C2">
        <w:rPr>
          <w:rFonts w:ascii="Times New Roman" w:hAnsi="Times New Roman" w:cs="Times New Roman"/>
          <w:sz w:val="22"/>
        </w:rPr>
        <w:t>MutationTaster</w:t>
      </w:r>
      <w:proofErr w:type="spellEnd"/>
      <w:r w:rsidRPr="000066C2">
        <w:rPr>
          <w:rFonts w:ascii="Times New Roman" w:hAnsi="Times New Roman" w:cs="Times New Roman"/>
          <w:sz w:val="22"/>
        </w:rPr>
        <w:t xml:space="preserve"> (</w:t>
      </w:r>
      <w:hyperlink r:id="rId8" w:history="1">
        <w:r w:rsidR="00E51141" w:rsidRPr="00821810">
          <w:rPr>
            <w:rStyle w:val="a7"/>
            <w:rFonts w:ascii="Times New Roman" w:hAnsi="Times New Roman" w:cs="Times New Roman"/>
            <w:sz w:val="22"/>
          </w:rPr>
          <w:t>http://www.mutationtaster.org/</w:t>
        </w:r>
      </w:hyperlink>
      <w:r w:rsidRPr="000066C2">
        <w:rPr>
          <w:rFonts w:ascii="Times New Roman" w:hAnsi="Times New Roman" w:cs="Times New Roman"/>
          <w:sz w:val="22"/>
        </w:rPr>
        <w:t>)</w:t>
      </w:r>
      <w:r>
        <w:rPr>
          <w:rFonts w:ascii="Times New Roman" w:hAnsi="Times New Roman" w:cs="Times New Roman"/>
          <w:sz w:val="22"/>
        </w:rPr>
        <w:t>.</w:t>
      </w:r>
      <w:r w:rsidR="00E51141">
        <w:rPr>
          <w:rFonts w:ascii="Times New Roman" w:hAnsi="Times New Roman" w:cs="Times New Roman"/>
          <w:sz w:val="22"/>
        </w:rPr>
        <w:t xml:space="preserve"> The mutations were categorized into four levels: </w:t>
      </w:r>
      <w:r w:rsidR="00E51141" w:rsidRPr="00E51141">
        <w:rPr>
          <w:rFonts w:ascii="Times New Roman" w:hAnsi="Times New Roman" w:cs="Times New Roman"/>
          <w:sz w:val="22"/>
        </w:rPr>
        <w:t>high</w:t>
      </w:r>
      <w:r w:rsidR="00E51141" w:rsidRPr="00E51141">
        <w:rPr>
          <w:rFonts w:ascii="Times New Roman" w:hAnsi="Times New Roman" w:cs="Times New Roman"/>
          <w:sz w:val="22"/>
        </w:rPr>
        <w:t>、</w:t>
      </w:r>
      <w:proofErr w:type="spellStart"/>
      <w:r w:rsidR="00E51141" w:rsidRPr="00E51141">
        <w:rPr>
          <w:rFonts w:ascii="Times New Roman" w:hAnsi="Times New Roman" w:cs="Times New Roman"/>
          <w:sz w:val="22"/>
        </w:rPr>
        <w:t>likeyhigh</w:t>
      </w:r>
      <w:proofErr w:type="spellEnd"/>
      <w:r w:rsidR="00E51141" w:rsidRPr="00E51141">
        <w:rPr>
          <w:rFonts w:ascii="Times New Roman" w:hAnsi="Times New Roman" w:cs="Times New Roman"/>
          <w:sz w:val="22"/>
        </w:rPr>
        <w:t>、</w:t>
      </w:r>
      <w:r w:rsidR="00E51141" w:rsidRPr="00E51141">
        <w:rPr>
          <w:rFonts w:ascii="Times New Roman" w:hAnsi="Times New Roman" w:cs="Times New Roman"/>
          <w:sz w:val="22"/>
        </w:rPr>
        <w:t>medium</w:t>
      </w:r>
      <w:r w:rsidR="00E51141">
        <w:rPr>
          <w:rFonts w:ascii="Times New Roman" w:hAnsi="Times New Roman" w:cs="Times New Roman" w:hint="eastAsia"/>
          <w:sz w:val="22"/>
        </w:rPr>
        <w:t xml:space="preserve"> </w:t>
      </w:r>
      <w:r w:rsidR="00E51141">
        <w:rPr>
          <w:rFonts w:ascii="Times New Roman" w:hAnsi="Times New Roman" w:cs="Times New Roman"/>
          <w:sz w:val="22"/>
        </w:rPr>
        <w:t xml:space="preserve">and </w:t>
      </w:r>
      <w:r w:rsidR="00E51141" w:rsidRPr="00E51141">
        <w:rPr>
          <w:rFonts w:ascii="Times New Roman" w:hAnsi="Times New Roman" w:cs="Times New Roman"/>
          <w:sz w:val="22"/>
        </w:rPr>
        <w:t>low</w:t>
      </w:r>
      <w:r w:rsidR="00E51141">
        <w:rPr>
          <w:rFonts w:ascii="Times New Roman" w:hAnsi="Times New Roman" w:cs="Times New Roman"/>
          <w:sz w:val="22"/>
        </w:rPr>
        <w:t>.</w:t>
      </w:r>
      <w:r w:rsidR="00ED3861">
        <w:rPr>
          <w:rFonts w:ascii="Times New Roman" w:hAnsi="Times New Roman" w:cs="Times New Roman"/>
          <w:sz w:val="22"/>
        </w:rPr>
        <w:t xml:space="preserve"> High (within the </w:t>
      </w:r>
      <w:proofErr w:type="spellStart"/>
      <w:r w:rsidR="00ED3861">
        <w:rPr>
          <w:rFonts w:ascii="Times New Roman" w:hAnsi="Times New Roman" w:cs="Times New Roman"/>
          <w:sz w:val="22"/>
        </w:rPr>
        <w:t>exonic</w:t>
      </w:r>
      <w:proofErr w:type="spellEnd"/>
      <w:r w:rsidR="00ED3861">
        <w:rPr>
          <w:rFonts w:ascii="Times New Roman" w:hAnsi="Times New Roman" w:cs="Times New Roman"/>
          <w:sz w:val="22"/>
        </w:rPr>
        <w:t xml:space="preserve"> region; not within repeat region; All MAF was less than 0.01 by 1000g, </w:t>
      </w:r>
      <w:proofErr w:type="spellStart"/>
      <w:r w:rsidR="00ED3861">
        <w:rPr>
          <w:rFonts w:ascii="Times New Roman" w:hAnsi="Times New Roman" w:cs="Times New Roman"/>
          <w:sz w:val="22"/>
        </w:rPr>
        <w:t>ExAC</w:t>
      </w:r>
      <w:proofErr w:type="spellEnd"/>
      <w:r w:rsidR="00ED3861">
        <w:rPr>
          <w:rFonts w:ascii="Times New Roman" w:hAnsi="Times New Roman" w:cs="Times New Roman"/>
          <w:sz w:val="22"/>
        </w:rPr>
        <w:t xml:space="preserve">, </w:t>
      </w:r>
      <w:proofErr w:type="spellStart"/>
      <w:r w:rsidR="00ED3861">
        <w:rPr>
          <w:rFonts w:ascii="Times New Roman" w:hAnsi="Times New Roman" w:cs="Times New Roman"/>
          <w:sz w:val="22"/>
        </w:rPr>
        <w:t>gnomAD</w:t>
      </w:r>
      <w:proofErr w:type="spellEnd"/>
      <w:r w:rsidR="00ED3861">
        <w:rPr>
          <w:rFonts w:ascii="Times New Roman" w:hAnsi="Times New Roman" w:cs="Times New Roman"/>
          <w:sz w:val="22"/>
        </w:rPr>
        <w:t xml:space="preserve">; at least one software prediction result was damaging); Likely high (within the </w:t>
      </w:r>
      <w:proofErr w:type="spellStart"/>
      <w:r w:rsidR="00ED3861">
        <w:rPr>
          <w:rFonts w:ascii="Times New Roman" w:hAnsi="Times New Roman" w:cs="Times New Roman"/>
          <w:sz w:val="22"/>
        </w:rPr>
        <w:t>exonic</w:t>
      </w:r>
      <w:proofErr w:type="spellEnd"/>
      <w:r w:rsidR="00ED3861">
        <w:rPr>
          <w:rFonts w:ascii="Times New Roman" w:hAnsi="Times New Roman" w:cs="Times New Roman"/>
          <w:sz w:val="22"/>
        </w:rPr>
        <w:t xml:space="preserve"> or splicing region; not within repeat region; at least one MAF was less than 0.01 by 1000g, </w:t>
      </w:r>
      <w:proofErr w:type="spellStart"/>
      <w:r w:rsidR="00ED3861">
        <w:rPr>
          <w:rFonts w:ascii="Times New Roman" w:hAnsi="Times New Roman" w:cs="Times New Roman"/>
          <w:sz w:val="22"/>
        </w:rPr>
        <w:t>ExAC</w:t>
      </w:r>
      <w:proofErr w:type="spellEnd"/>
      <w:r w:rsidR="00ED3861">
        <w:rPr>
          <w:rFonts w:ascii="Times New Roman" w:hAnsi="Times New Roman" w:cs="Times New Roman"/>
          <w:sz w:val="22"/>
        </w:rPr>
        <w:t xml:space="preserve">, </w:t>
      </w:r>
      <w:proofErr w:type="spellStart"/>
      <w:r w:rsidR="00ED3861">
        <w:rPr>
          <w:rFonts w:ascii="Times New Roman" w:hAnsi="Times New Roman" w:cs="Times New Roman"/>
          <w:sz w:val="22"/>
        </w:rPr>
        <w:t>gnomAD</w:t>
      </w:r>
      <w:proofErr w:type="spellEnd"/>
      <w:r w:rsidR="00ED3861">
        <w:rPr>
          <w:rFonts w:ascii="Times New Roman" w:hAnsi="Times New Roman" w:cs="Times New Roman"/>
          <w:sz w:val="22"/>
        </w:rPr>
        <w:t>; at least one software prediction result was damaging)</w:t>
      </w:r>
      <w:r w:rsidR="001970E0">
        <w:rPr>
          <w:rFonts w:ascii="Times New Roman" w:hAnsi="Times New Roman" w:cs="Times New Roman"/>
          <w:sz w:val="22"/>
        </w:rPr>
        <w:t xml:space="preserve">; Medium (within the </w:t>
      </w:r>
      <w:proofErr w:type="spellStart"/>
      <w:r w:rsidR="001970E0">
        <w:rPr>
          <w:rFonts w:ascii="Times New Roman" w:hAnsi="Times New Roman" w:cs="Times New Roman"/>
          <w:sz w:val="22"/>
        </w:rPr>
        <w:t>exonic</w:t>
      </w:r>
      <w:proofErr w:type="spellEnd"/>
      <w:r w:rsidR="001970E0">
        <w:rPr>
          <w:rFonts w:ascii="Times New Roman" w:hAnsi="Times New Roman" w:cs="Times New Roman"/>
          <w:sz w:val="22"/>
        </w:rPr>
        <w:t xml:space="preserve"> or splicing region; not within repeat region; at least one MAF was less than 0.01 by 1000g, </w:t>
      </w:r>
      <w:proofErr w:type="spellStart"/>
      <w:r w:rsidR="001970E0">
        <w:rPr>
          <w:rFonts w:ascii="Times New Roman" w:hAnsi="Times New Roman" w:cs="Times New Roman"/>
          <w:sz w:val="22"/>
        </w:rPr>
        <w:t>ExAC</w:t>
      </w:r>
      <w:proofErr w:type="spellEnd"/>
      <w:r w:rsidR="001970E0">
        <w:rPr>
          <w:rFonts w:ascii="Times New Roman" w:hAnsi="Times New Roman" w:cs="Times New Roman"/>
          <w:sz w:val="22"/>
        </w:rPr>
        <w:t xml:space="preserve">, </w:t>
      </w:r>
      <w:proofErr w:type="spellStart"/>
      <w:r w:rsidR="001970E0">
        <w:rPr>
          <w:rFonts w:ascii="Times New Roman" w:hAnsi="Times New Roman" w:cs="Times New Roman"/>
          <w:sz w:val="22"/>
        </w:rPr>
        <w:t>gnomAD</w:t>
      </w:r>
      <w:proofErr w:type="spellEnd"/>
      <w:r w:rsidR="001970E0">
        <w:rPr>
          <w:rFonts w:ascii="Times New Roman" w:hAnsi="Times New Roman" w:cs="Times New Roman"/>
          <w:sz w:val="22"/>
        </w:rPr>
        <w:t>); Low represents all the other variants.</w:t>
      </w:r>
    </w:p>
    <w:p w14:paraId="2794AC27" w14:textId="02111698" w:rsidR="000C6865" w:rsidRPr="00186FBF" w:rsidRDefault="000C6865" w:rsidP="000C6865">
      <w:pPr>
        <w:spacing w:line="480" w:lineRule="auto"/>
        <w:rPr>
          <w:rFonts w:ascii="Times New Roman" w:hAnsi="Times New Roman" w:cs="Times New Roman"/>
          <w:b/>
          <w:bCs/>
          <w:color w:val="000000"/>
          <w:sz w:val="22"/>
        </w:rPr>
      </w:pPr>
      <w:r>
        <w:rPr>
          <w:rFonts w:ascii="Times New Roman" w:hAnsi="Times New Roman" w:cs="Times New Roman"/>
          <w:b/>
          <w:bCs/>
          <w:color w:val="000000"/>
          <w:sz w:val="22"/>
        </w:rPr>
        <w:t>2.</w:t>
      </w:r>
      <w:r w:rsidR="00166897">
        <w:rPr>
          <w:rFonts w:ascii="Times New Roman" w:hAnsi="Times New Roman" w:cs="Times New Roman"/>
          <w:b/>
          <w:bCs/>
          <w:color w:val="000000"/>
          <w:sz w:val="22"/>
        </w:rPr>
        <w:t>3</w:t>
      </w:r>
      <w:r>
        <w:rPr>
          <w:rFonts w:ascii="Times New Roman" w:hAnsi="Times New Roman" w:cs="Times New Roman"/>
          <w:b/>
          <w:bCs/>
          <w:color w:val="000000"/>
          <w:sz w:val="22"/>
        </w:rPr>
        <w:t xml:space="preserve"> </w:t>
      </w:r>
      <w:r w:rsidRPr="00186FBF">
        <w:rPr>
          <w:rFonts w:ascii="Times New Roman" w:hAnsi="Times New Roman" w:cs="Times New Roman"/>
          <w:b/>
          <w:bCs/>
          <w:color w:val="000000"/>
          <w:sz w:val="22"/>
        </w:rPr>
        <w:t>Genotyping</w:t>
      </w:r>
    </w:p>
    <w:p w14:paraId="5CF20E1E" w14:textId="4392522D" w:rsidR="001F55CE" w:rsidRPr="00B95EBF" w:rsidRDefault="001F55CE" w:rsidP="001F55CE">
      <w:pPr>
        <w:spacing w:line="480" w:lineRule="auto"/>
        <w:rPr>
          <w:rFonts w:ascii="Times New Roman" w:hAnsi="Times New Roman" w:cs="Times New Roman"/>
          <w:color w:val="000000"/>
          <w:sz w:val="22"/>
          <w:shd w:val="clear" w:color="auto" w:fill="FFFFFF"/>
        </w:rPr>
      </w:pPr>
      <w:r w:rsidRPr="00186FBF">
        <w:rPr>
          <w:rFonts w:ascii="Times New Roman" w:hAnsi="Times New Roman" w:cs="Times New Roman"/>
          <w:color w:val="131413"/>
          <w:sz w:val="22"/>
        </w:rPr>
        <w:t xml:space="preserve">Genomic DNA was extracted </w:t>
      </w:r>
      <w:r w:rsidRPr="00186FBF">
        <w:rPr>
          <w:rFonts w:ascii="Times New Roman" w:eastAsia="等线" w:hAnsi="Times New Roman" w:cs="Times New Roman"/>
          <w:color w:val="131413"/>
          <w:sz w:val="22"/>
        </w:rPr>
        <w:t>from whole blood using a DNA extraction kit (Qiagen, Hilden, Germany), following the manufacturer’s instructions</w:t>
      </w:r>
      <w:r>
        <w:rPr>
          <w:rFonts w:ascii="Times New Roman" w:eastAsia="等线" w:hAnsi="Times New Roman" w:cs="Times New Roman"/>
          <w:color w:val="131413"/>
          <w:sz w:val="22"/>
        </w:rPr>
        <w:t>.</w:t>
      </w:r>
    </w:p>
    <w:p w14:paraId="2FA13A0F" w14:textId="5CA1F1C6" w:rsidR="000C6865" w:rsidRPr="00953CF9" w:rsidRDefault="000C6865" w:rsidP="00953CF9">
      <w:pPr>
        <w:spacing w:line="480" w:lineRule="auto"/>
        <w:rPr>
          <w:rFonts w:ascii="Times New Roman" w:hAnsi="Times New Roman" w:cs="Times New Roman"/>
          <w:color w:val="131413"/>
          <w:sz w:val="22"/>
        </w:rPr>
      </w:pPr>
      <w:r w:rsidRPr="00186FBF">
        <w:rPr>
          <w:rFonts w:ascii="Times New Roman" w:hAnsi="Times New Roman" w:cs="Times New Roman"/>
          <w:color w:val="131413"/>
          <w:sz w:val="22"/>
        </w:rPr>
        <w:lastRenderedPageBreak/>
        <w:t xml:space="preserve">DNA was stored at </w:t>
      </w:r>
      <w:r w:rsidRPr="00186FBF">
        <w:rPr>
          <w:rFonts w:ascii="Times New Roman" w:eastAsia="等线" w:hAnsi="Times New Roman" w:cs="Times New Roman"/>
          <w:color w:val="131413"/>
          <w:sz w:val="22"/>
        </w:rPr>
        <w:t>−80 °C until further processing.</w:t>
      </w:r>
      <w:r w:rsidR="00953CF9">
        <w:rPr>
          <w:rFonts w:ascii="Times New Roman" w:hAnsi="Times New Roman" w:cs="Times New Roman" w:hint="eastAsia"/>
          <w:color w:val="131413"/>
          <w:sz w:val="22"/>
        </w:rPr>
        <w:t xml:space="preserve"> </w:t>
      </w:r>
      <w:r w:rsidRPr="00186FBF">
        <w:rPr>
          <w:rFonts w:ascii="Times New Roman" w:hAnsi="Times New Roman" w:cs="Times New Roman"/>
          <w:color w:val="000000"/>
          <w:sz w:val="22"/>
        </w:rPr>
        <w:t xml:space="preserve">Two microliters of DNA from each sample were used for genotyping. All SNVs were genotyped using the </w:t>
      </w:r>
      <w:proofErr w:type="spellStart"/>
      <w:r w:rsidRPr="00186FBF">
        <w:rPr>
          <w:rFonts w:ascii="Times New Roman" w:hAnsi="Times New Roman" w:cs="Times New Roman"/>
          <w:color w:val="000000"/>
          <w:sz w:val="22"/>
        </w:rPr>
        <w:t>Sequenom</w:t>
      </w:r>
      <w:proofErr w:type="spellEnd"/>
      <w:r w:rsidRPr="00186FBF">
        <w:rPr>
          <w:rFonts w:ascii="Times New Roman" w:hAnsi="Times New Roman" w:cs="Times New Roman"/>
          <w:color w:val="000000"/>
          <w:sz w:val="22"/>
        </w:rPr>
        <w:t xml:space="preserve"> </w:t>
      </w:r>
      <w:proofErr w:type="spellStart"/>
      <w:r w:rsidRPr="00186FBF">
        <w:rPr>
          <w:rFonts w:ascii="Times New Roman" w:hAnsi="Times New Roman" w:cs="Times New Roman"/>
          <w:color w:val="000000"/>
          <w:sz w:val="22"/>
        </w:rPr>
        <w:t>MassArray</w:t>
      </w:r>
      <w:proofErr w:type="spellEnd"/>
      <w:r w:rsidRPr="00186FBF">
        <w:rPr>
          <w:rFonts w:ascii="Times New Roman" w:hAnsi="Times New Roman" w:cs="Times New Roman"/>
          <w:color w:val="000000"/>
          <w:sz w:val="22"/>
        </w:rPr>
        <w:t xml:space="preserve"> platform, which involved polymerase chain reaction (PCR), shrimp alkaline phosphatase (SAP) reaction, single base extension, resin cleanup</w:t>
      </w:r>
      <w:r w:rsidRPr="00186FBF">
        <w:rPr>
          <w:rFonts w:ascii="Times New Roman" w:eastAsia="等线" w:hAnsi="Times New Roman" w:cs="Times New Roman"/>
          <w:color w:val="000000"/>
          <w:sz w:val="22"/>
        </w:rPr>
        <w:t xml:space="preserve">, and detection </w:t>
      </w:r>
      <w:r w:rsidRPr="00186FBF">
        <w:rPr>
          <w:rFonts w:ascii="Times New Roman" w:hAnsi="Times New Roman" w:cs="Times New Roman"/>
          <w:color w:val="000000"/>
          <w:sz w:val="22"/>
        </w:rPr>
        <w:t xml:space="preserve">by mass spectrometry. The gene mass spectrogram was obtained using matrix-assisted laser desorption ionization time-of-flight mass spectrometry. </w:t>
      </w:r>
    </w:p>
    <w:p w14:paraId="08C7AC0F" w14:textId="65AA9F1A" w:rsidR="00920E9E" w:rsidRPr="00186FBF" w:rsidRDefault="00920E9E" w:rsidP="00920E9E">
      <w:pPr>
        <w:spacing w:line="480" w:lineRule="auto"/>
        <w:rPr>
          <w:rFonts w:ascii="Times New Roman" w:hAnsi="Times New Roman" w:cs="Times New Roman"/>
          <w:b/>
          <w:bCs/>
          <w:color w:val="131413"/>
          <w:sz w:val="22"/>
        </w:rPr>
      </w:pPr>
      <w:r>
        <w:rPr>
          <w:rFonts w:ascii="Times New Roman" w:hAnsi="Times New Roman" w:cs="Times New Roman"/>
          <w:b/>
          <w:bCs/>
          <w:color w:val="131413"/>
          <w:sz w:val="22"/>
        </w:rPr>
        <w:t>2.</w:t>
      </w:r>
      <w:r w:rsidR="00B85FC1">
        <w:rPr>
          <w:rFonts w:ascii="Times New Roman" w:hAnsi="Times New Roman" w:cs="Times New Roman"/>
          <w:b/>
          <w:bCs/>
          <w:color w:val="131413"/>
          <w:sz w:val="22"/>
        </w:rPr>
        <w:t>4</w:t>
      </w:r>
      <w:r>
        <w:rPr>
          <w:rFonts w:ascii="Times New Roman" w:hAnsi="Times New Roman" w:cs="Times New Roman"/>
          <w:b/>
          <w:bCs/>
          <w:color w:val="131413"/>
          <w:sz w:val="22"/>
        </w:rPr>
        <w:t xml:space="preserve"> </w:t>
      </w:r>
      <w:r w:rsidRPr="00186FBF">
        <w:rPr>
          <w:rFonts w:ascii="Times New Roman" w:hAnsi="Times New Roman" w:cs="Times New Roman"/>
          <w:b/>
          <w:bCs/>
          <w:color w:val="131413"/>
          <w:sz w:val="22"/>
        </w:rPr>
        <w:t>Statistical analysis</w:t>
      </w:r>
    </w:p>
    <w:p w14:paraId="314A826E" w14:textId="67579FF7" w:rsidR="0043455E" w:rsidRDefault="0043455E" w:rsidP="00920E9E">
      <w:pPr>
        <w:spacing w:line="480" w:lineRule="auto"/>
        <w:rPr>
          <w:rFonts w:ascii="Times New Roman" w:hAnsi="Times New Roman" w:cs="Times New Roman"/>
          <w:sz w:val="22"/>
        </w:rPr>
      </w:pPr>
      <w:r w:rsidRPr="00186FBF">
        <w:rPr>
          <w:rFonts w:ascii="Times New Roman" w:hAnsi="Times New Roman" w:cs="Times New Roman"/>
          <w:color w:val="131413"/>
          <w:sz w:val="22"/>
        </w:rPr>
        <w:t xml:space="preserve">In the validation stage, we used </w:t>
      </w:r>
      <w:r w:rsidRPr="00186FBF">
        <w:rPr>
          <w:rFonts w:ascii="Times New Roman" w:eastAsia="等线" w:hAnsi="Times New Roman" w:cs="Times New Roman"/>
          <w:color w:val="000000"/>
          <w:sz w:val="22"/>
        </w:rPr>
        <w:t xml:space="preserve">the </w:t>
      </w:r>
      <w:proofErr w:type="spellStart"/>
      <w:r w:rsidRPr="00186FBF">
        <w:rPr>
          <w:rFonts w:ascii="Times New Roman" w:hAnsi="Times New Roman" w:cs="Times New Roman"/>
          <w:color w:val="000000"/>
          <w:sz w:val="22"/>
        </w:rPr>
        <w:t>SHEsisPlus</w:t>
      </w:r>
      <w:proofErr w:type="spellEnd"/>
      <w:r w:rsidRPr="00186FBF">
        <w:rPr>
          <w:rFonts w:ascii="Times New Roman" w:hAnsi="Times New Roman" w:cs="Times New Roman"/>
          <w:color w:val="000000"/>
          <w:sz w:val="22"/>
        </w:rPr>
        <w:t xml:space="preserve"> platform</w:t>
      </w:r>
      <w:r w:rsidRPr="00186FBF">
        <w:rPr>
          <w:rFonts w:ascii="Times New Roman" w:hAnsi="Times New Roman" w:cs="Times New Roman"/>
          <w:color w:val="131413"/>
          <w:sz w:val="22"/>
        </w:rPr>
        <w:t xml:space="preserve"> for the analyses of Hardy–Weinberg equilibrium (HWE), linkage disequilibrium (</w:t>
      </w:r>
      <w:r w:rsidRPr="00186FBF">
        <w:rPr>
          <w:rFonts w:ascii="Times New Roman" w:hAnsi="Times New Roman" w:cs="Times New Roman"/>
          <w:color w:val="000000"/>
          <w:sz w:val="22"/>
        </w:rPr>
        <w:t xml:space="preserve">LD), and </w:t>
      </w:r>
      <w:r w:rsidRPr="00186FBF">
        <w:rPr>
          <w:rFonts w:ascii="Times New Roman" w:eastAsia="等线" w:hAnsi="Times New Roman" w:cs="Times New Roman"/>
          <w:color w:val="000000"/>
          <w:sz w:val="22"/>
        </w:rPr>
        <w:t xml:space="preserve">comparisons </w:t>
      </w:r>
      <w:r w:rsidRPr="00186FBF">
        <w:rPr>
          <w:rFonts w:ascii="Times New Roman" w:hAnsi="Times New Roman" w:cs="Times New Roman"/>
          <w:color w:val="000000"/>
          <w:sz w:val="22"/>
        </w:rPr>
        <w:t xml:space="preserve">of genotype and allele frequencies </w:t>
      </w:r>
      <w:r w:rsidRPr="00186FBF">
        <w:rPr>
          <w:rFonts w:ascii="Times New Roman" w:hAnsi="Times New Roman" w:cs="Times New Roman"/>
          <w:color w:val="000000"/>
          <w:sz w:val="22"/>
        </w:rPr>
        <w:fldChar w:fldCharType="begin">
          <w:fldData xml:space="preserve">PEVuZE5vdGU+PENpdGU+PEF1dGhvcj5TaGk8L0F1dGhvcj48WWVhcj4yMDA1PC9ZZWFyPjxSZWNO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</w:fldData>
        </w:fldChar>
      </w:r>
      <w:r w:rsidR="00292E98">
        <w:rPr>
          <w:rFonts w:ascii="Times New Roman" w:hAnsi="Times New Roman" w:cs="Times New Roman"/>
          <w:color w:val="000000"/>
          <w:sz w:val="22"/>
        </w:rPr>
        <w:instrText xml:space="preserve"> ADDIN EN.CITE </w:instrText>
      </w:r>
      <w:r w:rsidR="00292E98">
        <w:rPr>
          <w:rFonts w:ascii="Times New Roman" w:hAnsi="Times New Roman" w:cs="Times New Roman"/>
          <w:color w:val="000000"/>
          <w:sz w:val="22"/>
        </w:rPr>
        <w:fldChar w:fldCharType="begin">
          <w:fldData xml:space="preserve">PEVuZE5vdGU+PENpdGU+PEF1dGhvcj5TaGk8L0F1dGhvcj48WWVhcj4yMDA1PC9ZZWFyPjxSZWNO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</w:fldData>
        </w:fldChar>
      </w:r>
      <w:r w:rsidR="00292E98">
        <w:rPr>
          <w:rFonts w:ascii="Times New Roman" w:hAnsi="Times New Roman" w:cs="Times New Roman"/>
          <w:color w:val="000000"/>
          <w:sz w:val="22"/>
        </w:rPr>
        <w:instrText xml:space="preserve"> ADDIN EN.CITE.DATA </w:instrText>
      </w:r>
      <w:r w:rsidR="00292E98">
        <w:rPr>
          <w:rFonts w:ascii="Times New Roman" w:hAnsi="Times New Roman" w:cs="Times New Roman"/>
          <w:color w:val="000000"/>
          <w:sz w:val="22"/>
        </w:rPr>
      </w:r>
      <w:r w:rsidR="00292E98">
        <w:rPr>
          <w:rFonts w:ascii="Times New Roman" w:hAnsi="Times New Roman" w:cs="Times New Roman"/>
          <w:color w:val="000000"/>
          <w:sz w:val="22"/>
        </w:rPr>
        <w:fldChar w:fldCharType="end"/>
      </w:r>
      <w:r w:rsidRPr="00186FBF">
        <w:rPr>
          <w:rFonts w:ascii="Times New Roman" w:hAnsi="Times New Roman" w:cs="Times New Roman"/>
          <w:color w:val="000000"/>
          <w:sz w:val="22"/>
        </w:rPr>
      </w:r>
      <w:r w:rsidRPr="00186FBF">
        <w:rPr>
          <w:rFonts w:ascii="Times New Roman" w:hAnsi="Times New Roman" w:cs="Times New Roman"/>
          <w:color w:val="000000"/>
          <w:sz w:val="22"/>
        </w:rPr>
        <w:fldChar w:fldCharType="separate"/>
      </w:r>
      <w:r w:rsidR="00292E98">
        <w:rPr>
          <w:rFonts w:ascii="Times New Roman" w:hAnsi="Times New Roman" w:cs="Times New Roman"/>
          <w:noProof/>
          <w:color w:val="000000"/>
          <w:sz w:val="22"/>
        </w:rPr>
        <w:t>[1, 2]</w:t>
      </w:r>
      <w:r w:rsidRPr="00186FBF">
        <w:rPr>
          <w:rFonts w:ascii="Times New Roman" w:hAnsi="Times New Roman" w:cs="Times New Roman"/>
          <w:color w:val="000000"/>
          <w:sz w:val="22"/>
        </w:rPr>
        <w:fldChar w:fldCharType="end"/>
      </w:r>
      <w:r w:rsidRPr="00186FBF">
        <w:rPr>
          <w:rFonts w:ascii="Times New Roman" w:hAnsi="Times New Roman" w:cs="Times New Roman"/>
          <w:color w:val="000000"/>
          <w:sz w:val="22"/>
        </w:rPr>
        <w:t>.</w:t>
      </w:r>
      <w:r w:rsidR="006B0777" w:rsidRPr="006B0777">
        <w:rPr>
          <w:rFonts w:ascii="Times New Roman" w:eastAsia="等线" w:hAnsi="Times New Roman" w:cs="Times New Roman"/>
          <w:sz w:val="22"/>
        </w:rPr>
        <w:t xml:space="preserve"> </w:t>
      </w:r>
      <w:r w:rsidR="006B0777" w:rsidRPr="00186FBF">
        <w:rPr>
          <w:rFonts w:ascii="Times New Roman" w:eastAsia="等线" w:hAnsi="Times New Roman" w:cs="Times New Roman"/>
          <w:sz w:val="22"/>
        </w:rPr>
        <w:t>Results were expressed as odds ratios (ORs) with 95% confidence intervals (95% CI).</w:t>
      </w:r>
    </w:p>
    <w:p w14:paraId="36F5EF8C" w14:textId="79E069DF" w:rsidR="00920E9E" w:rsidRPr="00186FBF" w:rsidRDefault="00920E9E" w:rsidP="00920E9E">
      <w:pPr>
        <w:spacing w:line="480" w:lineRule="auto"/>
        <w:rPr>
          <w:rFonts w:ascii="Times New Roman" w:hAnsi="Times New Roman" w:cs="Times New Roman"/>
          <w:sz w:val="22"/>
        </w:rPr>
      </w:pPr>
      <w:r w:rsidRPr="00186FBF">
        <w:rPr>
          <w:rFonts w:ascii="Times New Roman" w:hAnsi="Times New Roman" w:cs="Times New Roman"/>
          <w:sz w:val="22"/>
        </w:rPr>
        <w:t>Functional enrichment analysis was performed using the DAVID web tool</w:t>
      </w:r>
      <w:r w:rsidRPr="00186FBF">
        <w:rPr>
          <w:rFonts w:ascii="Times New Roman" w:eastAsia="等线" w:hAnsi="Times New Roman" w:cs="Times New Roman"/>
          <w:sz w:val="22"/>
        </w:rPr>
        <w:t xml:space="preserve"> (</w:t>
      </w:r>
      <w:hyperlink r:id="rId9" w:history="1">
        <w:r w:rsidRPr="00186FBF">
          <w:rPr>
            <w:rFonts w:ascii="Times New Roman" w:eastAsia="等线" w:hAnsi="Times New Roman" w:cs="Times New Roman"/>
            <w:sz w:val="22"/>
          </w:rPr>
          <w:t>https://david.ncifcrf.gov/</w:t>
        </w:r>
      </w:hyperlink>
      <w:r w:rsidRPr="00186FBF">
        <w:rPr>
          <w:rFonts w:ascii="Times New Roman" w:eastAsia="等线" w:hAnsi="Times New Roman" w:cs="Times New Roman"/>
          <w:sz w:val="22"/>
        </w:rPr>
        <w:t>). Protein–protein interaction analyses were conducted using STRING (</w:t>
      </w:r>
      <w:r w:rsidRPr="00186FBF">
        <w:rPr>
          <w:rFonts w:ascii="Times New Roman" w:hAnsi="Times New Roman" w:cs="Times New Roman"/>
          <w:sz w:val="22"/>
        </w:rPr>
        <w:t>https://string-db.org/).</w:t>
      </w:r>
    </w:p>
    <w:p w14:paraId="08B883B5" w14:textId="2003DA1C" w:rsidR="000C6865" w:rsidRPr="00920E9E" w:rsidRDefault="00920E9E" w:rsidP="00920E9E">
      <w:pPr>
        <w:spacing w:line="480" w:lineRule="auto"/>
        <w:rPr>
          <w:rFonts w:ascii="Times New Roman" w:hAnsi="Times New Roman" w:cs="Times New Roman"/>
          <w:sz w:val="22"/>
        </w:rPr>
      </w:pPr>
      <w:r w:rsidRPr="00186FBF">
        <w:rPr>
          <w:rFonts w:ascii="Times New Roman" w:hAnsi="Times New Roman" w:cs="Times New Roman"/>
          <w:sz w:val="22"/>
        </w:rPr>
        <w:t xml:space="preserve">The alteration mode of proteins of the significant genes was visualized using </w:t>
      </w:r>
      <w:proofErr w:type="spellStart"/>
      <w:r w:rsidRPr="00186FBF">
        <w:rPr>
          <w:rFonts w:ascii="Times New Roman" w:hAnsi="Times New Roman" w:cs="Times New Roman"/>
          <w:sz w:val="22"/>
        </w:rPr>
        <w:t>PyMOL</w:t>
      </w:r>
      <w:proofErr w:type="spellEnd"/>
      <w:r w:rsidRPr="00186FBF">
        <w:rPr>
          <w:rFonts w:ascii="Times New Roman" w:hAnsi="Times New Roman" w:cs="Times New Roman"/>
          <w:sz w:val="22"/>
        </w:rPr>
        <w:t xml:space="preserve"> </w:t>
      </w:r>
      <w:r w:rsidRPr="00920E9E">
        <w:rPr>
          <w:rFonts w:ascii="Times New Roman" w:hAnsi="Times New Roman" w:cs="Times New Roman"/>
          <w:sz w:val="22"/>
        </w:rPr>
        <w:t>(http://www.pymol.org)</w:t>
      </w:r>
      <w:r w:rsidRPr="00920E9E">
        <w:rPr>
          <w:rFonts w:ascii="Times New Roman" w:hAnsi="Times New Roman" w:cs="Times New Roman"/>
          <w:sz w:val="22"/>
        </w:rPr>
        <w:fldChar w:fldCharType="begin"/>
      </w:r>
      <w:r w:rsidR="00292E98">
        <w:rPr>
          <w:rFonts w:ascii="Times New Roman" w:hAnsi="Times New Roman" w:cs="Times New Roman"/>
          <w:sz w:val="22"/>
        </w:rPr>
        <w:instrText xml:space="preserve"> ADDIN EN.CITE &lt;EndNote&gt;&lt;Cite&gt;&lt;Author&gt;Lilkova&lt;/Author&gt;&lt;Year&gt;2015&lt;/Year&gt;&lt;RecNum&gt;82&lt;/RecNum&gt;&lt;DisplayText&gt;[3]&lt;/DisplayText&gt;&lt;record&gt;&lt;rec-number&gt;82&lt;/rec-number&gt;&lt;foreign-keys&gt;&lt;key app="EN" db-id="e5p0pffsrrave6ef9s8xxawp2dw5vz092zrv" timestamp="1608602043"&gt;82&lt;/key&gt;&lt;/foreign-keys&gt;&lt;ref-type name="Conference Proceedings"&gt;10&lt;/ref-type&gt;&lt;contributors&gt;&lt;authors&gt;&lt;author&gt;Lilkova, E.&lt;/author&gt;&lt;author&gt;Petkov, P.&lt;/author&gt;&lt;author&gt;Ilieva, N.&lt;/author&gt;&lt;author&gt;Litov, L.&lt;/author&gt;&lt;/authors&gt;&lt;/contributors&gt;&lt;titles&gt;&lt;title&gt;The PyMOL Molecular Graphics System&lt;/title&gt;&lt;/titles&gt;&lt;dates&gt;&lt;year&gt;2015&lt;/year&gt;&lt;/dates&gt;&lt;urls&gt;&lt;/urls&gt;&lt;/record&gt;&lt;/Cite&gt;&lt;/EndNote&gt;</w:instrText>
      </w:r>
      <w:r w:rsidRPr="00920E9E">
        <w:rPr>
          <w:rFonts w:ascii="Times New Roman" w:hAnsi="Times New Roman" w:cs="Times New Roman"/>
          <w:sz w:val="22"/>
        </w:rPr>
        <w:fldChar w:fldCharType="separate"/>
      </w:r>
      <w:r w:rsidR="00292E98">
        <w:rPr>
          <w:rFonts w:ascii="Times New Roman" w:hAnsi="Times New Roman" w:cs="Times New Roman"/>
          <w:noProof/>
          <w:sz w:val="22"/>
        </w:rPr>
        <w:t>[3]</w:t>
      </w:r>
      <w:r w:rsidRPr="00920E9E">
        <w:rPr>
          <w:rFonts w:ascii="Times New Roman" w:hAnsi="Times New Roman" w:cs="Times New Roman"/>
          <w:sz w:val="22"/>
        </w:rPr>
        <w:fldChar w:fldCharType="end"/>
      </w:r>
      <w:r w:rsidRPr="00186FBF">
        <w:rPr>
          <w:rFonts w:ascii="Times New Roman" w:hAnsi="Times New Roman" w:cs="Times New Roman"/>
          <w:sz w:val="22"/>
        </w:rPr>
        <w:t xml:space="preserve">. </w:t>
      </w:r>
      <w:r w:rsidRPr="00920E9E">
        <w:rPr>
          <w:rFonts w:ascii="Times New Roman" w:hAnsi="Times New Roman" w:cs="Times New Roman"/>
          <w:sz w:val="22"/>
        </w:rPr>
        <w:t xml:space="preserve">The prediction of structural change was performed using the online tool </w:t>
      </w:r>
      <w:r w:rsidRPr="00186FBF">
        <w:rPr>
          <w:rFonts w:ascii="Times New Roman" w:hAnsi="Times New Roman" w:cs="Times New Roman"/>
          <w:sz w:val="22"/>
        </w:rPr>
        <w:t>Hope (</w:t>
      </w:r>
      <w:hyperlink r:id="rId10" w:history="1">
        <w:r w:rsidRPr="00186FBF">
          <w:rPr>
            <w:rFonts w:ascii="Times New Roman" w:hAnsi="Times New Roman" w:cs="Times New Roman"/>
            <w:sz w:val="22"/>
          </w:rPr>
          <w:t>https://www3.cmbi.umcn.nl/hope/</w:t>
        </w:r>
      </w:hyperlink>
      <w:r w:rsidRPr="00186FBF">
        <w:rPr>
          <w:rFonts w:ascii="Times New Roman" w:hAnsi="Times New Roman" w:cs="Times New Roman"/>
          <w:sz w:val="22"/>
        </w:rPr>
        <w:t xml:space="preserve">) </w:t>
      </w:r>
      <w:r w:rsidRPr="00186FBF">
        <w:rPr>
          <w:rFonts w:ascii="Times New Roman" w:hAnsi="Times New Roman" w:cs="Times New Roman"/>
          <w:sz w:val="22"/>
        </w:rPr>
        <w:fldChar w:fldCharType="begin"/>
      </w:r>
      <w:r w:rsidR="00292E98">
        <w:rPr>
          <w:rFonts w:ascii="Times New Roman" w:hAnsi="Times New Roman" w:cs="Times New Roman"/>
          <w:sz w:val="22"/>
        </w:rPr>
        <w:instrText xml:space="preserve"> ADDIN EN.CITE &lt;EndNote&gt;&lt;Cite&gt;&lt;Author&gt;Venselaar&lt;/Author&gt;&lt;Year&gt;2010&lt;/Year&gt;&lt;RecNum&gt;84&lt;/RecNum&gt;&lt;DisplayText&gt;[4]&lt;/DisplayText&gt;&lt;record&gt;&lt;rec-number&gt;84&lt;/rec-number&gt;&lt;foreign-keys&gt;&lt;key app="EN" db-id="e5p0pffsrrave6ef9s8xxawp2dw5vz092zrv" timestamp="1608710562"&gt;84&lt;/key&gt;&lt;/foreign-keys&gt;&lt;ref-type name="Journal Article"&gt;17&lt;/ref-type&gt;&lt;contributors&gt;&lt;authors&gt;&lt;author&gt;Venselaar, Hanka&lt;/author&gt;&lt;author&gt;te Beek, Tim A. H.&lt;/author&gt;&lt;author&gt;Kuipers, Remko K. P.&lt;/author&gt;&lt;author&gt;Hekkelman, Maarten L.&lt;/author&gt;&lt;author&gt;Vriend, Gert&lt;/author&gt;&lt;/authors&gt;&lt;/contributors&gt;&lt;titles&gt;&lt;title&gt;Protein structure analysis of mutations causing inheritable diseases. An e-Science approach with life scientist friendly interfaces&lt;/title&gt;&lt;secondary-title&gt;BMC Bioinformatics&lt;/secondary-title&gt;&lt;/titles&gt;&lt;periodical&gt;&lt;full-title&gt;BMC Bioinformatics&lt;/full-title&gt;&lt;/periodical&gt;&lt;pages&gt;548&lt;/pages&gt;&lt;volume&gt;11&lt;/volume&gt;&lt;number&gt;1&lt;/number&gt;&lt;dates&gt;&lt;year&gt;2010&lt;/year&gt;&lt;pub-dates&gt;&lt;date&gt;2010/11/08&lt;/date&gt;&lt;/pub-dates&gt;&lt;/dates&gt;&lt;isbn&gt;1471-2105&lt;/isbn&gt;&lt;urls&gt;&lt;related-urls&gt;&lt;url&gt;https://doi.org/10.1186/1471-2105-11-548&lt;/url&gt;&lt;/related-urls&gt;&lt;/urls&gt;&lt;electronic-resource-num&gt;10.1186/1471-2105-11-548&lt;/electronic-resource-num&gt;&lt;/record&gt;&lt;/Cite&gt;&lt;/EndNote&gt;</w:instrText>
      </w:r>
      <w:r w:rsidRPr="00186FBF">
        <w:rPr>
          <w:rFonts w:ascii="Times New Roman" w:hAnsi="Times New Roman" w:cs="Times New Roman"/>
          <w:sz w:val="22"/>
        </w:rPr>
        <w:fldChar w:fldCharType="separate"/>
      </w:r>
      <w:r w:rsidR="00292E98">
        <w:rPr>
          <w:rFonts w:ascii="Times New Roman" w:hAnsi="Times New Roman" w:cs="Times New Roman"/>
          <w:noProof/>
          <w:sz w:val="22"/>
        </w:rPr>
        <w:t>[4]</w:t>
      </w:r>
      <w:r w:rsidRPr="00186FBF">
        <w:rPr>
          <w:rFonts w:ascii="Times New Roman" w:hAnsi="Times New Roman" w:cs="Times New Roman"/>
          <w:sz w:val="22"/>
        </w:rPr>
        <w:fldChar w:fldCharType="end"/>
      </w:r>
      <w:r w:rsidRPr="00186FBF">
        <w:rPr>
          <w:rFonts w:ascii="Times New Roman" w:hAnsi="Times New Roman" w:cs="Times New Roman"/>
          <w:sz w:val="22"/>
        </w:rPr>
        <w:t>.</w:t>
      </w:r>
    </w:p>
    <w:p w14:paraId="2F3EB913" w14:textId="20383518" w:rsidR="000C6865" w:rsidRDefault="004A6EE9" w:rsidP="00920E9E">
      <w:pPr>
        <w:spacing w:line="480" w:lineRule="auto"/>
        <w:rPr>
          <w:rFonts w:ascii="Times New Roman" w:hAnsi="Times New Roman" w:cs="Times New Roman"/>
          <w:b/>
          <w:bCs/>
          <w:sz w:val="22"/>
        </w:rPr>
      </w:pPr>
      <w:r w:rsidRPr="004A6EE9">
        <w:rPr>
          <w:rFonts w:ascii="Times New Roman" w:hAnsi="Times New Roman" w:cs="Times New Roman" w:hint="eastAsia"/>
          <w:b/>
          <w:bCs/>
          <w:sz w:val="22"/>
        </w:rPr>
        <w:t>R</w:t>
      </w:r>
      <w:r w:rsidRPr="004A6EE9">
        <w:rPr>
          <w:rFonts w:ascii="Times New Roman" w:hAnsi="Times New Roman" w:cs="Times New Roman"/>
          <w:b/>
          <w:bCs/>
          <w:sz w:val="22"/>
        </w:rPr>
        <w:t>esults</w:t>
      </w:r>
    </w:p>
    <w:p w14:paraId="366E6084" w14:textId="6F44AA29" w:rsidR="00B716F0" w:rsidRPr="00B716F0" w:rsidRDefault="00B716F0" w:rsidP="00B716F0">
      <w:pPr>
        <w:spacing w:line="480" w:lineRule="auto"/>
        <w:rPr>
          <w:rFonts w:ascii="Times New Roman" w:hAnsi="Times New Roman" w:cs="Times New Roman"/>
          <w:b/>
          <w:bCs/>
          <w:sz w:val="22"/>
        </w:rPr>
      </w:pPr>
      <w:r w:rsidRPr="00B716F0">
        <w:rPr>
          <w:rFonts w:ascii="Times New Roman" w:hAnsi="Times New Roman" w:cs="Times New Roman"/>
          <w:b/>
          <w:bCs/>
          <w:sz w:val="22"/>
        </w:rPr>
        <w:t>3.</w:t>
      </w:r>
      <w:r w:rsidR="00610045">
        <w:rPr>
          <w:rFonts w:ascii="Times New Roman" w:hAnsi="Times New Roman" w:cs="Times New Roman"/>
          <w:b/>
          <w:bCs/>
          <w:sz w:val="22"/>
        </w:rPr>
        <w:t>4</w:t>
      </w:r>
      <w:r w:rsidRPr="00B716F0">
        <w:rPr>
          <w:rFonts w:ascii="Times New Roman" w:hAnsi="Times New Roman" w:cs="Times New Roman"/>
          <w:b/>
          <w:bCs/>
          <w:sz w:val="22"/>
        </w:rPr>
        <w:t>Enrichment and Protein-protein interaction network construction</w:t>
      </w:r>
    </w:p>
    <w:p w14:paraId="2759ADD4" w14:textId="5E064D51" w:rsidR="00B716F0" w:rsidRPr="00B716F0" w:rsidRDefault="005D336C" w:rsidP="00B716F0">
      <w:pPr>
        <w:widowControl/>
        <w:spacing w:line="480" w:lineRule="auto"/>
        <w:rPr>
          <w:rFonts w:ascii="Times New Roman" w:hAnsi="Times New Roman" w:cs="Times New Roman"/>
          <w:sz w:val="22"/>
        </w:rPr>
      </w:pPr>
      <w:r w:rsidRPr="005D336C">
        <w:rPr>
          <w:rFonts w:ascii="Times New Roman" w:hAnsi="Times New Roman" w:cs="Times New Roman"/>
          <w:sz w:val="22"/>
        </w:rPr>
        <w:t xml:space="preserve">The online tool DAVID identified 10 enriched biological processes, 13 enriched molecular function clusters, 3 enriched cellular components, and two enriched KEGG pathways. </w:t>
      </w:r>
      <w:r w:rsidR="00B716F0" w:rsidRPr="00B716F0">
        <w:rPr>
          <w:rFonts w:ascii="Times New Roman" w:hAnsi="Times New Roman" w:cs="Times New Roman"/>
          <w:sz w:val="22"/>
        </w:rPr>
        <w:t xml:space="preserve">The top-ranked biological processes with the smallest P-values showed that these 330 genes were </w:t>
      </w:r>
      <w:r w:rsidR="00B716F0" w:rsidRPr="00B716F0">
        <w:rPr>
          <w:rFonts w:ascii="Times New Roman" w:hAnsi="Times New Roman" w:cs="Times New Roman"/>
          <w:sz w:val="22"/>
        </w:rPr>
        <w:lastRenderedPageBreak/>
        <w:t>strongly related to various aspects of G-protein coupled receptor signaling pathway, detection of chemical stimulus, cardiac muscle fiber development, microtubule-based movement, and substrate adhesion-dependent cell spreading, all of which are related to fibril functions. The top molecular function clusters showed that these differentially expressed genes between cases and controls were strongly related to functions involving</w:t>
      </w:r>
      <w:bookmarkStart w:id="0" w:name="_Hlk60141934"/>
      <w:r w:rsidR="00B716F0" w:rsidRPr="00B716F0">
        <w:rPr>
          <w:rFonts w:ascii="Times New Roman" w:hAnsi="Times New Roman" w:cs="Times New Roman"/>
          <w:sz w:val="22"/>
        </w:rPr>
        <w:t xml:space="preserve"> microtubule motor activity and ATP pathways,</w:t>
      </w:r>
      <w:bookmarkEnd w:id="0"/>
      <w:r w:rsidR="00B716F0" w:rsidRPr="00B716F0">
        <w:rPr>
          <w:rFonts w:ascii="Times New Roman" w:hAnsi="Times New Roman" w:cs="Times New Roman"/>
          <w:sz w:val="22"/>
        </w:rPr>
        <w:t xml:space="preserve"> including ATP binding and ATPase activity, and G-protein functions, such as G-protein coupled receptor activity and G-protein coupled serotonin receptor activity. The cell component GO category showed enrichment predominantly for the integral component of </w:t>
      </w:r>
      <w:bookmarkStart w:id="1" w:name="_Hlk60142001"/>
      <w:r w:rsidR="00B716F0" w:rsidRPr="00B716F0">
        <w:rPr>
          <w:rFonts w:ascii="Times New Roman" w:hAnsi="Times New Roman" w:cs="Times New Roman"/>
          <w:sz w:val="22"/>
        </w:rPr>
        <w:t>membrane, basement membrane, plasma membrane, and Golgi lumen.</w:t>
      </w:r>
      <w:bookmarkEnd w:id="1"/>
      <w:r w:rsidR="00B716F0" w:rsidRPr="00B716F0">
        <w:rPr>
          <w:rFonts w:ascii="Times New Roman" w:hAnsi="Times New Roman" w:cs="Times New Roman"/>
          <w:sz w:val="22"/>
        </w:rPr>
        <w:t xml:space="preserve"> The two most highly enriched classes of KEGG pathways were the olfactory transduction, with 17 genes identified in our study, and the ABC transporters, with five genes defined (</w:t>
      </w:r>
      <w:r w:rsidR="00B716F0" w:rsidRPr="00B716F0">
        <w:rPr>
          <w:rFonts w:ascii="Times New Roman" w:hAnsi="Times New Roman" w:cs="Times New Roman"/>
          <w:i/>
          <w:iCs/>
          <w:sz w:val="22"/>
        </w:rPr>
        <w:t>ABCA10, ABCA6, ABCC6, ABCB5 and ABCA7</w:t>
      </w:r>
      <w:r w:rsidR="00B716F0" w:rsidRPr="00B716F0">
        <w:rPr>
          <w:rFonts w:ascii="Times New Roman" w:hAnsi="Times New Roman" w:cs="Times New Roman"/>
          <w:sz w:val="22"/>
        </w:rPr>
        <w:t>) and the Amoebiasis, with six genes defined (</w:t>
      </w:r>
      <w:r w:rsidR="00B716F0" w:rsidRPr="00B716F0">
        <w:rPr>
          <w:rFonts w:ascii="Times New Roman" w:hAnsi="Times New Roman" w:cs="Times New Roman"/>
          <w:i/>
          <w:iCs/>
          <w:sz w:val="22"/>
        </w:rPr>
        <w:t>COL27A1, CSF2, LAMC3, PIK3R3, LAMB1 and LAMC1</w:t>
      </w:r>
      <w:r w:rsidR="00B716F0" w:rsidRPr="00B716F0">
        <w:rPr>
          <w:rFonts w:ascii="Times New Roman" w:hAnsi="Times New Roman" w:cs="Times New Roman"/>
          <w:sz w:val="22"/>
        </w:rPr>
        <w:t>).</w:t>
      </w:r>
    </w:p>
    <w:p w14:paraId="243244F2" w14:textId="2B2B3036" w:rsidR="005A24CC" w:rsidRPr="00186FBF" w:rsidRDefault="005A24CC" w:rsidP="005A24CC">
      <w:pPr>
        <w:spacing w:line="480" w:lineRule="auto"/>
        <w:rPr>
          <w:rStyle w:val="fontstyle01"/>
          <w:rFonts w:ascii="Times New Roman" w:hAnsi="Times New Roman" w:cs="Times New Roman"/>
          <w:b/>
          <w:bCs/>
          <w:color w:val="auto"/>
          <w:sz w:val="22"/>
          <w:szCs w:val="22"/>
        </w:rPr>
      </w:pPr>
      <w:r>
        <w:rPr>
          <w:rFonts w:ascii="Times New Roman" w:hAnsi="Times New Roman" w:cs="Times New Roman"/>
          <w:b/>
          <w:bCs/>
          <w:sz w:val="22"/>
        </w:rPr>
        <w:t>3.</w:t>
      </w:r>
      <w:r w:rsidR="00610045">
        <w:rPr>
          <w:rFonts w:ascii="Times New Roman" w:hAnsi="Times New Roman" w:cs="Times New Roman"/>
          <w:b/>
          <w:bCs/>
          <w:sz w:val="22"/>
        </w:rPr>
        <w:t>5</w:t>
      </w:r>
      <w:r>
        <w:rPr>
          <w:rFonts w:ascii="Times New Roman" w:hAnsi="Times New Roman" w:cs="Times New Roman"/>
          <w:b/>
          <w:bCs/>
          <w:sz w:val="22"/>
        </w:rPr>
        <w:t xml:space="preserve"> </w:t>
      </w:r>
      <w:r w:rsidR="00DE724E">
        <w:rPr>
          <w:rFonts w:ascii="Times New Roman" w:hAnsi="Times New Roman" w:cs="Times New Roman"/>
          <w:b/>
          <w:bCs/>
          <w:sz w:val="22"/>
        </w:rPr>
        <w:t xml:space="preserve">Validation and </w:t>
      </w:r>
      <w:r w:rsidRPr="00186FBF">
        <w:rPr>
          <w:rFonts w:ascii="Times New Roman" w:hAnsi="Times New Roman" w:cs="Times New Roman"/>
          <w:b/>
          <w:bCs/>
          <w:sz w:val="22"/>
        </w:rPr>
        <w:t>Linkage disequilibrium analysis</w:t>
      </w:r>
    </w:p>
    <w:p w14:paraId="3E357765" w14:textId="298B3328" w:rsidR="005A24CC" w:rsidRPr="005A24CC" w:rsidRDefault="005A24CC" w:rsidP="00920E9E">
      <w:pPr>
        <w:spacing w:line="480" w:lineRule="auto"/>
        <w:rPr>
          <w:rFonts w:ascii="Times New Roman" w:hAnsi="Times New Roman" w:cs="Times New Roman"/>
          <w:sz w:val="22"/>
        </w:rPr>
      </w:pPr>
      <w:r w:rsidRPr="00186FBF">
        <w:rPr>
          <w:rFonts w:ascii="Times New Roman" w:hAnsi="Times New Roman" w:cs="Times New Roman"/>
          <w:sz w:val="22"/>
        </w:rPr>
        <w:t xml:space="preserve">When analyzing the LD patterns of eight SNVs, we identified that </w:t>
      </w:r>
      <w:r w:rsidRPr="00186FBF">
        <w:rPr>
          <w:rFonts w:ascii="Times New Roman" w:hAnsi="Times New Roman" w:cs="Times New Roman"/>
          <w:i/>
          <w:iCs/>
          <w:sz w:val="22"/>
        </w:rPr>
        <w:t>BRDT</w:t>
      </w:r>
      <w:r w:rsidRPr="00186FBF">
        <w:rPr>
          <w:rFonts w:ascii="Times New Roman" w:hAnsi="Times New Roman" w:cs="Times New Roman"/>
          <w:sz w:val="22"/>
        </w:rPr>
        <w:t xml:space="preserve"> rs10783071 with rs10747493, </w:t>
      </w:r>
      <w:r w:rsidRPr="00186FBF">
        <w:rPr>
          <w:rFonts w:ascii="Times New Roman" w:hAnsi="Times New Roman" w:cs="Times New Roman"/>
          <w:i/>
          <w:iCs/>
          <w:sz w:val="22"/>
        </w:rPr>
        <w:t>OR2T35</w:t>
      </w:r>
      <w:r w:rsidRPr="00186FBF">
        <w:rPr>
          <w:rFonts w:ascii="Times New Roman" w:eastAsia="等线" w:hAnsi="Times New Roman" w:cs="Times New Roman"/>
          <w:sz w:val="22"/>
        </w:rPr>
        <w:t xml:space="preserve"> rs78622116 with </w:t>
      </w:r>
      <w:r w:rsidRPr="00186FBF">
        <w:rPr>
          <w:rFonts w:ascii="Times New Roman" w:hAnsi="Times New Roman" w:cs="Times New Roman"/>
          <w:i/>
          <w:iCs/>
          <w:sz w:val="22"/>
        </w:rPr>
        <w:t>NFASC</w:t>
      </w:r>
      <w:r w:rsidRPr="00186FBF">
        <w:rPr>
          <w:rFonts w:ascii="Times New Roman" w:hAnsi="Times New Roman" w:cs="Times New Roman"/>
          <w:sz w:val="22"/>
        </w:rPr>
        <w:t xml:space="preserve"> rs2802808</w:t>
      </w:r>
      <w:r w:rsidRPr="00186FBF">
        <w:rPr>
          <w:rFonts w:ascii="Times New Roman" w:eastAsia="等线" w:hAnsi="Times New Roman" w:cs="Times New Roman"/>
          <w:sz w:val="22"/>
        </w:rPr>
        <w:t xml:space="preserve"> and </w:t>
      </w:r>
      <w:r w:rsidRPr="00186FBF">
        <w:rPr>
          <w:rFonts w:ascii="Times New Roman" w:eastAsia="等线" w:hAnsi="Times New Roman" w:cs="Times New Roman"/>
          <w:i/>
          <w:iCs/>
          <w:sz w:val="22"/>
        </w:rPr>
        <w:t>ZMYND12</w:t>
      </w:r>
      <w:r w:rsidRPr="00186FBF">
        <w:rPr>
          <w:rFonts w:ascii="Times New Roman" w:eastAsia="等线" w:hAnsi="Times New Roman" w:cs="Times New Roman"/>
          <w:sz w:val="22"/>
        </w:rPr>
        <w:t xml:space="preserve"> rs1034268 showed strong relationships with D’</w:t>
      </w:r>
      <w:r w:rsidRPr="00186FBF">
        <w:rPr>
          <w:rFonts w:ascii="Times New Roman" w:hAnsi="Times New Roman" w:cs="Times New Roman"/>
          <w:sz w:val="22"/>
        </w:rPr>
        <w:t xml:space="preserve"> &gt; 0.8 (Figure </w:t>
      </w:r>
      <w:r w:rsidR="002805FB">
        <w:rPr>
          <w:rFonts w:ascii="Times New Roman" w:hAnsi="Times New Roman" w:cs="Times New Roman"/>
          <w:sz w:val="22"/>
        </w:rPr>
        <w:t>S3</w:t>
      </w:r>
      <w:r w:rsidRPr="00186FBF">
        <w:rPr>
          <w:rFonts w:ascii="Times New Roman" w:hAnsi="Times New Roman" w:cs="Times New Roman"/>
          <w:sz w:val="22"/>
        </w:rPr>
        <w:t xml:space="preserve">). </w:t>
      </w:r>
      <w:bookmarkStart w:id="2" w:name="_Hlk87476084"/>
      <w:r w:rsidRPr="00186FBF">
        <w:rPr>
          <w:rFonts w:ascii="Times New Roman" w:hAnsi="Times New Roman" w:cs="Times New Roman"/>
          <w:sz w:val="22"/>
        </w:rPr>
        <w:t>Moreover, the gene interaction P values are shown in Table S</w:t>
      </w:r>
      <w:r w:rsidR="00C62A46">
        <w:rPr>
          <w:rFonts w:ascii="Times New Roman" w:hAnsi="Times New Roman" w:cs="Times New Roman"/>
          <w:sz w:val="22"/>
        </w:rPr>
        <w:t>8</w:t>
      </w:r>
      <w:r w:rsidRPr="00186FBF">
        <w:rPr>
          <w:rFonts w:ascii="Times New Roman" w:hAnsi="Times New Roman" w:cs="Times New Roman"/>
          <w:sz w:val="22"/>
        </w:rPr>
        <w:t>.</w:t>
      </w:r>
      <w:bookmarkEnd w:id="2"/>
      <w:r w:rsidRPr="00186FBF">
        <w:rPr>
          <w:rFonts w:ascii="Times New Roman" w:hAnsi="Times New Roman" w:cs="Times New Roman"/>
          <w:sz w:val="22"/>
        </w:rPr>
        <w:t xml:space="preserve"> TMEM201 rs4926472 with PBX1 rs2275558</w:t>
      </w:r>
      <w:r w:rsidRPr="00186FBF">
        <w:rPr>
          <w:rFonts w:ascii="Times New Roman" w:hAnsi="Times New Roman" w:cs="Times New Roman" w:hint="eastAsia"/>
          <w:sz w:val="22"/>
        </w:rPr>
        <w:t>,</w:t>
      </w:r>
      <w:r w:rsidRPr="00186FBF">
        <w:rPr>
          <w:rFonts w:ascii="Times New Roman" w:hAnsi="Times New Roman" w:cs="Times New Roman"/>
          <w:sz w:val="22"/>
        </w:rPr>
        <w:t xml:space="preserve"> BRDT rs10783071 with NFASC rs2802808 </w:t>
      </w:r>
      <w:r w:rsidRPr="00186FBF">
        <w:rPr>
          <w:rFonts w:ascii="Times New Roman" w:eastAsia="等线" w:hAnsi="Times New Roman" w:cs="Times New Roman"/>
          <w:color w:val="000000"/>
          <w:sz w:val="22"/>
        </w:rPr>
        <w:t>showed strong relationships with P &lt; 0.05.</w:t>
      </w:r>
    </w:p>
    <w:p w14:paraId="791A3BB9" w14:textId="77777777" w:rsidR="004A6EE9" w:rsidRPr="00920E9E" w:rsidRDefault="004A6EE9" w:rsidP="00920E9E">
      <w:pPr>
        <w:spacing w:line="480" w:lineRule="auto"/>
        <w:rPr>
          <w:rFonts w:ascii="Times New Roman" w:hAnsi="Times New Roman" w:cs="Times New Roman"/>
          <w:sz w:val="22"/>
        </w:rPr>
      </w:pPr>
    </w:p>
    <w:p w14:paraId="70B68CC2" w14:textId="77777777" w:rsidR="00292E98" w:rsidRPr="00292E98" w:rsidRDefault="000C6865" w:rsidP="00292E98">
      <w:pPr>
        <w:pStyle w:val="EndNoteBibliography"/>
        <w:ind w:left="720" w:hanging="720"/>
      </w:pPr>
      <w:r>
        <w:fldChar w:fldCharType="begin"/>
      </w:r>
      <w:r>
        <w:instrText xml:space="preserve"> ADDIN EN.REFLIST </w:instrText>
      </w:r>
      <w:r>
        <w:fldChar w:fldCharType="separate"/>
      </w:r>
      <w:r w:rsidR="00292E98" w:rsidRPr="00292E98">
        <w:t>1.</w:t>
      </w:r>
      <w:r w:rsidR="00292E98" w:rsidRPr="00292E98">
        <w:tab/>
        <w:t xml:space="preserve">Shi YY, He L: </w:t>
      </w:r>
      <w:r w:rsidR="00292E98" w:rsidRPr="00292E98">
        <w:rPr>
          <w:b/>
        </w:rPr>
        <w:t>SHEsis, a powerful software platform for analyses of linkage disequilibrium, haplotype construction, and genetic association at polymorphism loci</w:t>
      </w:r>
      <w:r w:rsidR="00292E98" w:rsidRPr="00292E98">
        <w:t xml:space="preserve">. </w:t>
      </w:r>
      <w:r w:rsidR="00292E98" w:rsidRPr="00292E98">
        <w:rPr>
          <w:i/>
        </w:rPr>
        <w:t xml:space="preserve">Cell research </w:t>
      </w:r>
      <w:r w:rsidR="00292E98" w:rsidRPr="00292E98">
        <w:t xml:space="preserve">2005, </w:t>
      </w:r>
      <w:r w:rsidR="00292E98" w:rsidRPr="00292E98">
        <w:rPr>
          <w:b/>
        </w:rPr>
        <w:t>15</w:t>
      </w:r>
      <w:r w:rsidR="00292E98" w:rsidRPr="00292E98">
        <w:t>(2):97-98.</w:t>
      </w:r>
    </w:p>
    <w:p w14:paraId="5E1FC70C" w14:textId="70D0F4EF" w:rsidR="00292E98" w:rsidRPr="00292E98" w:rsidRDefault="00292E98" w:rsidP="00292E98">
      <w:pPr>
        <w:pStyle w:val="EndNoteBibliography"/>
        <w:ind w:left="720" w:hanging="720"/>
      </w:pPr>
      <w:r w:rsidRPr="00292E98">
        <w:t>2.</w:t>
      </w:r>
      <w:r w:rsidRPr="00292E98">
        <w:tab/>
        <w:t xml:space="preserve">Li Z, Zhang Z, He Z, Tang W, Li T, Zeng Z, He L, Shi Y: </w:t>
      </w:r>
      <w:r w:rsidRPr="00292E98">
        <w:rPr>
          <w:b/>
        </w:rPr>
        <w:t>A partition-ligation-combination-</w:t>
      </w:r>
      <w:r w:rsidRPr="00292E98">
        <w:rPr>
          <w:b/>
        </w:rPr>
        <w:lastRenderedPageBreak/>
        <w:t>subdivision EM algorithm for haplotype inference with multiallelic markers: update of the SHEsis (</w:t>
      </w:r>
      <w:hyperlink r:id="rId11" w:history="1">
        <w:r w:rsidRPr="00292E98">
          <w:rPr>
            <w:rStyle w:val="a7"/>
            <w:b/>
          </w:rPr>
          <w:t>http://analysis.bio-x.cn</w:t>
        </w:r>
      </w:hyperlink>
      <w:r w:rsidRPr="00292E98">
        <w:rPr>
          <w:b/>
        </w:rPr>
        <w:t>)</w:t>
      </w:r>
      <w:r w:rsidRPr="00292E98">
        <w:t xml:space="preserve">. </w:t>
      </w:r>
      <w:r w:rsidRPr="00292E98">
        <w:rPr>
          <w:i/>
        </w:rPr>
        <w:t xml:space="preserve">Cell research </w:t>
      </w:r>
      <w:r w:rsidRPr="00292E98">
        <w:t xml:space="preserve">2009, </w:t>
      </w:r>
      <w:r w:rsidRPr="00292E98">
        <w:rPr>
          <w:b/>
        </w:rPr>
        <w:t>19</w:t>
      </w:r>
      <w:r w:rsidRPr="00292E98">
        <w:t>(4):519-523.</w:t>
      </w:r>
    </w:p>
    <w:p w14:paraId="0746C81C" w14:textId="77777777" w:rsidR="00292E98" w:rsidRPr="00292E98" w:rsidRDefault="00292E98" w:rsidP="00292E98">
      <w:pPr>
        <w:pStyle w:val="EndNoteBibliography"/>
        <w:ind w:left="720" w:hanging="720"/>
      </w:pPr>
      <w:r w:rsidRPr="00292E98">
        <w:t>3.</w:t>
      </w:r>
      <w:r w:rsidRPr="00292E98">
        <w:tab/>
        <w:t xml:space="preserve">Lilkova E, Petkov P, Ilieva N, Litov L: </w:t>
      </w:r>
      <w:r w:rsidRPr="00292E98">
        <w:rPr>
          <w:b/>
        </w:rPr>
        <w:t>The PyMOL Molecular Graphics System</w:t>
      </w:r>
      <w:r w:rsidRPr="00292E98">
        <w:t>. In</w:t>
      </w:r>
      <w:r w:rsidRPr="00292E98">
        <w:rPr>
          <w:i/>
        </w:rPr>
        <w:t>: 2015</w:t>
      </w:r>
      <w:r w:rsidRPr="00292E98">
        <w:t>; 2015.</w:t>
      </w:r>
    </w:p>
    <w:p w14:paraId="5B479EFE" w14:textId="77777777" w:rsidR="00292E98" w:rsidRPr="00292E98" w:rsidRDefault="00292E98" w:rsidP="00292E98">
      <w:pPr>
        <w:pStyle w:val="EndNoteBibliography"/>
        <w:ind w:left="720" w:hanging="720"/>
      </w:pPr>
      <w:r w:rsidRPr="00292E98">
        <w:t>4.</w:t>
      </w:r>
      <w:r w:rsidRPr="00292E98">
        <w:tab/>
        <w:t xml:space="preserve">Venselaar H, te Beek TAH, Kuipers RKP, Hekkelman ML, Vriend G: </w:t>
      </w:r>
      <w:r w:rsidRPr="00292E98">
        <w:rPr>
          <w:b/>
        </w:rPr>
        <w:t>Protein structure analysis of mutations causing inheritable diseases. An e-Science approach with life scientist friendly interfaces</w:t>
      </w:r>
      <w:r w:rsidRPr="00292E98">
        <w:t xml:space="preserve">. </w:t>
      </w:r>
      <w:r w:rsidRPr="00292E98">
        <w:rPr>
          <w:i/>
        </w:rPr>
        <w:t xml:space="preserve">BMC Bioinformatics </w:t>
      </w:r>
      <w:r w:rsidRPr="00292E98">
        <w:t xml:space="preserve">2010, </w:t>
      </w:r>
      <w:r w:rsidRPr="00292E98">
        <w:rPr>
          <w:b/>
        </w:rPr>
        <w:t>11</w:t>
      </w:r>
      <w:r w:rsidRPr="00292E98">
        <w:t>(1):548.</w:t>
      </w:r>
    </w:p>
    <w:p w14:paraId="7AF14945" w14:textId="233FA271" w:rsidR="00AD64FC" w:rsidRPr="000C6865" w:rsidRDefault="000C6865">
      <w:r>
        <w:fldChar w:fldCharType="end"/>
      </w:r>
    </w:p>
    <w:sectPr w:rsidR="00AD64FC" w:rsidRPr="000C68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40FA8" w14:textId="77777777" w:rsidR="00143B21" w:rsidRDefault="00143B21" w:rsidP="00AD64FC">
      <w:r>
        <w:separator/>
      </w:r>
    </w:p>
  </w:endnote>
  <w:endnote w:type="continuationSeparator" w:id="0">
    <w:p w14:paraId="21D4C63C" w14:textId="77777777" w:rsidR="00143B21" w:rsidRDefault="00143B21" w:rsidP="00AD6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NimbusSanL-Regu">
    <w:altName w:val="Cambria"/>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56193" w14:textId="77777777" w:rsidR="00143B21" w:rsidRDefault="00143B21" w:rsidP="00AD64FC">
      <w:r>
        <w:separator/>
      </w:r>
    </w:p>
  </w:footnote>
  <w:footnote w:type="continuationSeparator" w:id="0">
    <w:p w14:paraId="7120616F" w14:textId="77777777" w:rsidR="00143B21" w:rsidRDefault="00143B21" w:rsidP="00AD64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BMC Medical Res Method&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5p0pffsrrave6ef9s8xxawp2dw5vz092zrv&quot;&gt;我的EndNote库-妊娠静脉血栓&lt;record-ids&gt;&lt;item&gt;74&lt;/item&gt;&lt;item&gt;75&lt;/item&gt;&lt;item&gt;82&lt;/item&gt;&lt;item&gt;84&lt;/item&gt;&lt;/record-ids&gt;&lt;/item&gt;&lt;/Libraries&gt;"/>
  </w:docVars>
  <w:rsids>
    <w:rsidRoot w:val="00C70661"/>
    <w:rsid w:val="00084D5A"/>
    <w:rsid w:val="000C6865"/>
    <w:rsid w:val="000C69E4"/>
    <w:rsid w:val="00113242"/>
    <w:rsid w:val="00143B21"/>
    <w:rsid w:val="00166897"/>
    <w:rsid w:val="00174F5A"/>
    <w:rsid w:val="00182386"/>
    <w:rsid w:val="001970E0"/>
    <w:rsid w:val="001F55CE"/>
    <w:rsid w:val="0026792A"/>
    <w:rsid w:val="002805FB"/>
    <w:rsid w:val="00292E98"/>
    <w:rsid w:val="002D1028"/>
    <w:rsid w:val="00301179"/>
    <w:rsid w:val="0043455E"/>
    <w:rsid w:val="004A6EE9"/>
    <w:rsid w:val="005405CC"/>
    <w:rsid w:val="005413DA"/>
    <w:rsid w:val="005A24CC"/>
    <w:rsid w:val="005A76F2"/>
    <w:rsid w:val="005B306C"/>
    <w:rsid w:val="005D336C"/>
    <w:rsid w:val="00610045"/>
    <w:rsid w:val="00652DA6"/>
    <w:rsid w:val="006938E1"/>
    <w:rsid w:val="006B0777"/>
    <w:rsid w:val="006B2D23"/>
    <w:rsid w:val="006D1A13"/>
    <w:rsid w:val="006F62FE"/>
    <w:rsid w:val="008276D8"/>
    <w:rsid w:val="00920E9E"/>
    <w:rsid w:val="00953CF9"/>
    <w:rsid w:val="00A35DC5"/>
    <w:rsid w:val="00A66849"/>
    <w:rsid w:val="00AD64FC"/>
    <w:rsid w:val="00B062A0"/>
    <w:rsid w:val="00B2003C"/>
    <w:rsid w:val="00B716F0"/>
    <w:rsid w:val="00B85FC1"/>
    <w:rsid w:val="00C62A46"/>
    <w:rsid w:val="00C66588"/>
    <w:rsid w:val="00C66D8B"/>
    <w:rsid w:val="00C70661"/>
    <w:rsid w:val="00CA46CA"/>
    <w:rsid w:val="00CA63EA"/>
    <w:rsid w:val="00CD6AD4"/>
    <w:rsid w:val="00DD42DF"/>
    <w:rsid w:val="00DE724E"/>
    <w:rsid w:val="00E33CD8"/>
    <w:rsid w:val="00E51141"/>
    <w:rsid w:val="00E829CF"/>
    <w:rsid w:val="00ED3861"/>
    <w:rsid w:val="00EE55AE"/>
    <w:rsid w:val="00F71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2CB24"/>
  <w15:chartTrackingRefBased/>
  <w15:docId w15:val="{8017E146-3F7F-4441-9BC5-EF25F7BA0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64F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64FC"/>
    <w:rPr>
      <w:sz w:val="18"/>
      <w:szCs w:val="18"/>
    </w:rPr>
  </w:style>
  <w:style w:type="paragraph" w:styleId="a5">
    <w:name w:val="footer"/>
    <w:basedOn w:val="a"/>
    <w:link w:val="a6"/>
    <w:uiPriority w:val="99"/>
    <w:unhideWhenUsed/>
    <w:rsid w:val="00AD64FC"/>
    <w:pPr>
      <w:tabs>
        <w:tab w:val="center" w:pos="4153"/>
        <w:tab w:val="right" w:pos="8306"/>
      </w:tabs>
      <w:snapToGrid w:val="0"/>
      <w:jc w:val="left"/>
    </w:pPr>
    <w:rPr>
      <w:sz w:val="18"/>
      <w:szCs w:val="18"/>
    </w:rPr>
  </w:style>
  <w:style w:type="character" w:customStyle="1" w:styleId="a6">
    <w:name w:val="页脚 字符"/>
    <w:basedOn w:val="a0"/>
    <w:link w:val="a5"/>
    <w:uiPriority w:val="99"/>
    <w:rsid w:val="00AD64FC"/>
    <w:rPr>
      <w:sz w:val="18"/>
      <w:szCs w:val="18"/>
    </w:rPr>
  </w:style>
  <w:style w:type="paragraph" w:customStyle="1" w:styleId="EndNoteBibliographyTitle">
    <w:name w:val="EndNote Bibliography Title"/>
    <w:basedOn w:val="a"/>
    <w:link w:val="EndNoteBibliographyTitle0"/>
    <w:rsid w:val="000C6865"/>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0C6865"/>
    <w:rPr>
      <w:rFonts w:ascii="等线" w:eastAsia="等线" w:hAnsi="等线"/>
      <w:noProof/>
      <w:sz w:val="20"/>
    </w:rPr>
  </w:style>
  <w:style w:type="paragraph" w:customStyle="1" w:styleId="EndNoteBibliography">
    <w:name w:val="EndNote Bibliography"/>
    <w:basedOn w:val="a"/>
    <w:link w:val="EndNoteBibliography0"/>
    <w:rsid w:val="000C6865"/>
    <w:rPr>
      <w:rFonts w:ascii="等线" w:eastAsia="等线" w:hAnsi="等线"/>
      <w:noProof/>
      <w:sz w:val="20"/>
    </w:rPr>
  </w:style>
  <w:style w:type="character" w:customStyle="1" w:styleId="EndNoteBibliography0">
    <w:name w:val="EndNote Bibliography 字符"/>
    <w:basedOn w:val="a0"/>
    <w:link w:val="EndNoteBibliography"/>
    <w:rsid w:val="000C6865"/>
    <w:rPr>
      <w:rFonts w:ascii="等线" w:eastAsia="等线" w:hAnsi="等线"/>
      <w:noProof/>
      <w:sz w:val="20"/>
    </w:rPr>
  </w:style>
  <w:style w:type="character" w:styleId="a7">
    <w:name w:val="Hyperlink"/>
    <w:basedOn w:val="a0"/>
    <w:uiPriority w:val="99"/>
    <w:unhideWhenUsed/>
    <w:rsid w:val="0043455E"/>
    <w:rPr>
      <w:color w:val="0563C1" w:themeColor="hyperlink"/>
      <w:u w:val="single"/>
    </w:rPr>
  </w:style>
  <w:style w:type="character" w:styleId="a8">
    <w:name w:val="Unresolved Mention"/>
    <w:basedOn w:val="a0"/>
    <w:uiPriority w:val="99"/>
    <w:semiHidden/>
    <w:unhideWhenUsed/>
    <w:rsid w:val="0043455E"/>
    <w:rPr>
      <w:color w:val="605E5C"/>
      <w:shd w:val="clear" w:color="auto" w:fill="E1DFDD"/>
    </w:rPr>
  </w:style>
  <w:style w:type="character" w:customStyle="1" w:styleId="fontstyle01">
    <w:name w:val="fontstyle01"/>
    <w:basedOn w:val="a0"/>
    <w:rsid w:val="00B2003C"/>
    <w:rPr>
      <w:rFonts w:ascii="NimbusSanL-Regu" w:hAnsi="NimbusSanL-Regu" w:hint="default"/>
      <w:b w:val="0"/>
      <w:bCs w:val="0"/>
      <w:i w:val="0"/>
      <w:iCs w:val="0"/>
      <w:color w:val="777777"/>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tationtaster.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exac.broadinstitute.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1000genomes.org/" TargetMode="External"/><Relationship Id="rId11" Type="http://schemas.openxmlformats.org/officeDocument/2006/relationships/hyperlink" Target="http://analysis.bio-x.cn" TargetMode="External"/><Relationship Id="rId5" Type="http://schemas.openxmlformats.org/officeDocument/2006/relationships/endnotes" Target="endnotes.xml"/><Relationship Id="rId10" Type="http://schemas.openxmlformats.org/officeDocument/2006/relationships/hyperlink" Target="https://www3.cmbi.umcn.nl/hope/" TargetMode="External"/><Relationship Id="rId4" Type="http://schemas.openxmlformats.org/officeDocument/2006/relationships/footnotes" Target="footnotes.xml"/><Relationship Id="rId9" Type="http://schemas.openxmlformats.org/officeDocument/2006/relationships/hyperlink" Target="https://david.ncifcrf.go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1387</Words>
  <Characters>7910</Characters>
  <Application>Microsoft Office Word</Application>
  <DocSecurity>0</DocSecurity>
  <Lines>65</Lines>
  <Paragraphs>18</Paragraphs>
  <ScaleCrop>false</ScaleCrop>
  <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玉 佩</dc:creator>
  <cp:keywords/>
  <dc:description/>
  <cp:lastModifiedBy>玉 佩</cp:lastModifiedBy>
  <cp:revision>14</cp:revision>
  <dcterms:created xsi:type="dcterms:W3CDTF">2021-11-10T14:06:00Z</dcterms:created>
  <dcterms:modified xsi:type="dcterms:W3CDTF">2022-08-15T05:59:00Z</dcterms:modified>
</cp:coreProperties>
</file>