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UHPLC-MS/MS method with online SPE for thalidomide quantification in dried plasma spot for therapeutic drug monitoring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SUPPLEMENTARY DATA</w:t>
      </w:r>
    </w:p>
    <w:p w:rsidR="00000000" w:rsidDel="00000000" w:rsidP="00000000" w:rsidRDefault="00000000" w:rsidRPr="00000000" w14:paraId="00000005">
      <w:pPr>
        <w:spacing w:after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Table S1 – Mass spectrometry parameters and typical retention times for thalidomide and its stable-isotope-labeled internal standard</w:t>
      </w:r>
    </w:p>
    <w:tbl>
      <w:tblPr>
        <w:tblStyle w:val="Table1"/>
        <w:tblW w:w="850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696"/>
        <w:gridCol w:w="1134"/>
        <w:gridCol w:w="1135"/>
        <w:gridCol w:w="1135"/>
        <w:gridCol w:w="1135"/>
        <w:gridCol w:w="1135"/>
        <w:gridCol w:w="1135"/>
        <w:tblGridChange w:id="0">
          <w:tblGrid>
            <w:gridCol w:w="1696"/>
            <w:gridCol w:w="1134"/>
            <w:gridCol w:w="1135"/>
            <w:gridCol w:w="1135"/>
            <w:gridCol w:w="1135"/>
            <w:gridCol w:w="1135"/>
            <w:gridCol w:w="1135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Compound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Retention time (min)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Precursor ion (m/z)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*Product ion (m/z)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Collision energy (eV)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Tube Lens Voltage (V)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Target Ion ratio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thalidomide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5.7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259.1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84.1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87.2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thalidomide-d4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263.1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76.3</w:t>
            </w:r>
          </w:p>
        </w:tc>
      </w:tr>
    </w:tbl>
    <w:p w:rsidR="00000000" w:rsidDel="00000000" w:rsidP="00000000" w:rsidRDefault="00000000" w:rsidRPr="00000000" w14:paraId="0000002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ESI: Electrospray ionization; m/z: mass/charge ratio; *Product ions are given as quantifying ion; confirming ion; eV: electron Volts; V: Volts.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Table S2 – Online solid phase extraction (SPE) clean up elution program </w:t>
      </w:r>
    </w:p>
    <w:tbl>
      <w:tblPr>
        <w:tblStyle w:val="Table2"/>
        <w:tblW w:w="849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Flow rate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Solvent A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Solvent B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min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mL/min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Initial condition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100.0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15.0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100.0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8.0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Stop run</w:t>
            </w:r>
          </w:p>
        </w:tc>
      </w:tr>
    </w:tbl>
    <w:p w:rsidR="00000000" w:rsidDel="00000000" w:rsidP="00000000" w:rsidRDefault="00000000" w:rsidRPr="00000000" w14:paraId="00000055">
      <w:pPr>
        <w:spacing w:before="120" w:lineRule="auto"/>
        <w:jc w:val="both"/>
        <w:rPr>
          <w:rFonts w:ascii="Calibri" w:cs="Calibri" w:eastAsia="Calibri" w:hAnsi="Calibri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Optimized SPE online clean up with SolEx</w:t>
      </w:r>
      <w:r w:rsidDel="00000000" w:rsidR="00000000" w:rsidRPr="00000000">
        <w:rPr>
          <w:rFonts w:ascii="Calibri" w:cs="Calibri" w:eastAsia="Calibri" w:hAnsi="Calibri"/>
          <w:sz w:val="18"/>
          <w:szCs w:val="18"/>
          <w:vertAlign w:val="superscript"/>
          <w:rtl w:val="0"/>
        </w:rPr>
        <w:t xml:space="preserve">TM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RSLC HRP column, 2.1x20mm, set at 40ºC and eluted with a mixture of organic and aqueous phases. Solvent A: 0.5% formic acid in water; Solvent B: 0.5% formic acid in 50% of methanol, 40% of acetonitrile and 10% of water.</w:t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Table S3 – Gradient elution program</w:t>
      </w:r>
    </w:p>
    <w:tbl>
      <w:tblPr>
        <w:tblStyle w:val="Table3"/>
        <w:tblW w:w="8494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Flow rate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Solvent A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Solvent B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min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mL/min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Initial condition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73.0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27.0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73.0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27.0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73.0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27.0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5.0</w:t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10.0</w:t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6.5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10.0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90.0</w:t>
            </w:r>
          </w:p>
        </w:tc>
      </w:tr>
      <w:tr>
        <w:trPr>
          <w:cantSplit w:val="0"/>
          <w:trHeight w:val="283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6.6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0.400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73.0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27.0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8.0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Stop run</w:t>
            </w:r>
          </w:p>
        </w:tc>
      </w:tr>
    </w:tbl>
    <w:p w:rsidR="00000000" w:rsidDel="00000000" w:rsidP="00000000" w:rsidRDefault="00000000" w:rsidRPr="00000000" w14:paraId="0000007C">
      <w:pPr>
        <w:spacing w:before="12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Optimized chromatographic method 50X 2.1mmX 2.6µm Accucore</w:t>
      </w:r>
      <w:r w:rsidDel="00000000" w:rsidR="00000000" w:rsidRPr="00000000">
        <w:rPr>
          <w:rFonts w:ascii="Calibri" w:cs="Calibri" w:eastAsia="Calibri" w:hAnsi="Calibri"/>
          <w:sz w:val="18"/>
          <w:szCs w:val="18"/>
          <w:vertAlign w:val="superscript"/>
          <w:rtl w:val="0"/>
        </w:rPr>
        <w:t xml:space="preserve">TM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PFP. coupled with a guard column 2.1x20 mm (Security Guard Cartridge C18 Phenomenex, Torrance, CA, USA). set at 40ºC and eluted with a mixture of organic and aqueous phases. Solvent A: 0.1% formic acid in water; Solvent B: 0.1% formic acid in 70% of methanol and 30% of acetonitrile. Volume injected 60 µL.</w:t>
      </w: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418" w:top="1701" w:left="1701" w:right="170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94F73"/>
    <w:pPr>
      <w:tabs>
        <w:tab w:val="center" w:pos="4252"/>
        <w:tab w:val="right" w:pos="8504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4F73"/>
  </w:style>
  <w:style w:type="paragraph" w:styleId="Footer">
    <w:name w:val="footer"/>
    <w:basedOn w:val="Normal"/>
    <w:link w:val="FooterChar"/>
    <w:uiPriority w:val="99"/>
    <w:unhideWhenUsed w:val="1"/>
    <w:rsid w:val="00A94F73"/>
    <w:pPr>
      <w:tabs>
        <w:tab w:val="center" w:pos="4252"/>
        <w:tab w:val="right" w:pos="8504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4F73"/>
  </w:style>
  <w:style w:type="table" w:styleId="TableGrid">
    <w:name w:val="Table Grid"/>
    <w:basedOn w:val="TableNormal"/>
    <w:uiPriority w:val="39"/>
    <w:rsid w:val="00AE7D7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comgrade1" w:customStyle="1">
    <w:name w:val="Tabela com grade1"/>
    <w:basedOn w:val="TableNormal"/>
    <w:next w:val="TableGrid"/>
    <w:uiPriority w:val="39"/>
    <w:rsid w:val="006A0511"/>
    <w:rPr>
      <w:rFonts w:asciiTheme="minorHAnsi" w:cstheme="minorBidi" w:hAnsiTheme="minorHAnsi"/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57.0" w:type="dxa"/>
        <w:right w:w="57.0" w:type="dxa"/>
      </w:tblCellMar>
    </w:tblPr>
  </w:style>
  <w:style w:type="table" w:styleId="a0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57.0" w:type="dxa"/>
        <w:right w:w="57.0" w:type="dxa"/>
      </w:tblCellMar>
    </w:tblPr>
  </w:style>
  <w:style w:type="table" w:styleId="a1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</w:tblPr>
  </w:style>
  <w:style w:type="table" w:styleId="a2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</w:tblPr>
  </w:style>
  <w:style w:type="table" w:styleId="a3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</w:tblPr>
  </w:style>
  <w:style w:type="table" w:styleId="a4" w:customStyle="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F1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2F1CC8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2F1CC8"/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F1CC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F1CC8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72C0A"/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72C0A"/>
    <w:rPr>
      <w:rFonts w:ascii="Times New Roman" w:cs="Times New Roman" w:hAnsi="Times New Roman"/>
      <w:sz w:val="18"/>
      <w:szCs w:val="18"/>
    </w:rPr>
  </w:style>
  <w:style w:type="table" w:styleId="a5" w:customStyle="1">
    <w:basedOn w:val="TableNormal1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57.0" w:type="dxa"/>
        <w:right w:w="57.0" w:type="dxa"/>
      </w:tblCellMar>
    </w:tblPr>
  </w:style>
  <w:style w:type="table" w:styleId="a6" w:customStyle="1">
    <w:basedOn w:val="TableNormal1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57.0" w:type="dxa"/>
        <w:right w:w="57.0" w:type="dxa"/>
      </w:tblCellMar>
    </w:tblPr>
  </w:style>
  <w:style w:type="table" w:styleId="a7" w:customStyle="1">
    <w:basedOn w:val="TableNormal1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GtCISe3To3ZxV2MLP03y5ilDwg==">AMUW2mX3K6AcyPnjt2+CpOBO0PcDQ5LtKA13TRPhYKlFoV596XXtAwRIfJ5riy6kxFSVHKt/oLhjNIaZb+rTuDgNgR79U1Xs4cgBUYbV1jT8dodId1Rz2wRwnScLO130epX451xIhXNa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2022-03-20T22:21:00Z</dcterms:created>
  <dc:creator>Renata Soares</dc:creator>
</cp:coreProperties>
</file>