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EF7" w:rsidRPr="00464929" w:rsidRDefault="00106EF7" w:rsidP="00106EF7">
      <w:pPr>
        <w:spacing w:line="240" w:lineRule="auto"/>
        <w:contextualSpacing/>
        <w:rPr>
          <w:rFonts w:ascii="Arial" w:hAnsi="Arial" w:cs="Arial"/>
          <w:b/>
        </w:rPr>
      </w:pPr>
      <w:proofErr w:type="gramStart"/>
      <w:r w:rsidRPr="00464929">
        <w:rPr>
          <w:rFonts w:ascii="Arial" w:hAnsi="Arial" w:cs="Arial"/>
          <w:b/>
        </w:rPr>
        <w:t>Supplementary Table S1.</w:t>
      </w:r>
      <w:proofErr w:type="gramEnd"/>
      <w:r w:rsidRPr="00464929">
        <w:rPr>
          <w:rFonts w:ascii="Arial" w:hAnsi="Arial" w:cs="Arial"/>
          <w:b/>
        </w:rPr>
        <w:t xml:space="preserve"> Gene function and ontogeny</w:t>
      </w:r>
    </w:p>
    <w:tbl>
      <w:tblPr>
        <w:tblStyle w:val="TableGrid"/>
        <w:tblW w:w="10370" w:type="dxa"/>
        <w:tblLayout w:type="fixed"/>
        <w:tblLook w:val="04A0" w:firstRow="1" w:lastRow="0" w:firstColumn="1" w:lastColumn="0" w:noHBand="0" w:noVBand="1"/>
      </w:tblPr>
      <w:tblGrid>
        <w:gridCol w:w="1101"/>
        <w:gridCol w:w="2382"/>
        <w:gridCol w:w="1697"/>
        <w:gridCol w:w="2225"/>
        <w:gridCol w:w="2965"/>
      </w:tblGrid>
      <w:tr w:rsidR="00106EF7" w:rsidRPr="00464929" w:rsidTr="00722427">
        <w:trPr>
          <w:trHeight w:val="553"/>
        </w:trPr>
        <w:tc>
          <w:tcPr>
            <w:tcW w:w="1101" w:type="dxa"/>
            <w:tcBorders>
              <w:top w:val="single" w:sz="4" w:space="0" w:color="auto"/>
              <w:left w:val="nil"/>
              <w:bottom w:val="single" w:sz="4" w:space="0" w:color="auto"/>
              <w:right w:val="nil"/>
            </w:tcBorders>
          </w:tcPr>
          <w:p w:rsidR="00106EF7" w:rsidRPr="00464929" w:rsidRDefault="00106EF7" w:rsidP="00722427">
            <w:pPr>
              <w:contextualSpacing/>
              <w:rPr>
                <w:rFonts w:ascii="Arial" w:hAnsi="Arial" w:cs="Arial"/>
                <w:b/>
              </w:rPr>
            </w:pPr>
            <w:r w:rsidRPr="00464929">
              <w:rPr>
                <w:rFonts w:ascii="Arial" w:hAnsi="Arial" w:cs="Arial"/>
                <w:b/>
              </w:rPr>
              <w:t>Gene</w:t>
            </w:r>
          </w:p>
        </w:tc>
        <w:tc>
          <w:tcPr>
            <w:tcW w:w="2382" w:type="dxa"/>
            <w:tcBorders>
              <w:top w:val="single" w:sz="4" w:space="0" w:color="auto"/>
              <w:left w:val="nil"/>
              <w:bottom w:val="single" w:sz="4" w:space="0" w:color="auto"/>
              <w:right w:val="nil"/>
            </w:tcBorders>
          </w:tcPr>
          <w:p w:rsidR="00106EF7" w:rsidRPr="00464929" w:rsidRDefault="00106EF7" w:rsidP="00722427">
            <w:pPr>
              <w:contextualSpacing/>
              <w:rPr>
                <w:rFonts w:ascii="Arial" w:hAnsi="Arial" w:cs="Arial"/>
                <w:b/>
              </w:rPr>
            </w:pPr>
            <w:r w:rsidRPr="00464929">
              <w:rPr>
                <w:rFonts w:ascii="Arial" w:hAnsi="Arial" w:cs="Arial"/>
                <w:b/>
              </w:rPr>
              <w:t>GO Function</w:t>
            </w:r>
          </w:p>
        </w:tc>
        <w:tc>
          <w:tcPr>
            <w:tcW w:w="1697" w:type="dxa"/>
            <w:tcBorders>
              <w:top w:val="single" w:sz="4" w:space="0" w:color="auto"/>
              <w:left w:val="nil"/>
              <w:bottom w:val="single" w:sz="4" w:space="0" w:color="auto"/>
              <w:right w:val="nil"/>
            </w:tcBorders>
          </w:tcPr>
          <w:p w:rsidR="00106EF7" w:rsidRPr="00464929" w:rsidRDefault="00106EF7" w:rsidP="00722427">
            <w:pPr>
              <w:contextualSpacing/>
              <w:rPr>
                <w:rFonts w:ascii="Arial" w:hAnsi="Arial" w:cs="Arial"/>
                <w:b/>
              </w:rPr>
            </w:pPr>
            <w:r w:rsidRPr="00464929">
              <w:rPr>
                <w:rFonts w:ascii="Arial" w:hAnsi="Arial" w:cs="Arial"/>
                <w:b/>
              </w:rPr>
              <w:t>KEGG pathway</w:t>
            </w:r>
          </w:p>
        </w:tc>
        <w:tc>
          <w:tcPr>
            <w:tcW w:w="2225" w:type="dxa"/>
            <w:tcBorders>
              <w:top w:val="single" w:sz="4" w:space="0" w:color="auto"/>
              <w:left w:val="nil"/>
              <w:bottom w:val="single" w:sz="4" w:space="0" w:color="auto"/>
              <w:right w:val="nil"/>
            </w:tcBorders>
          </w:tcPr>
          <w:p w:rsidR="00106EF7" w:rsidRPr="00464929" w:rsidRDefault="00106EF7" w:rsidP="00722427">
            <w:pPr>
              <w:contextualSpacing/>
              <w:rPr>
                <w:rFonts w:ascii="Arial" w:hAnsi="Arial" w:cs="Arial"/>
                <w:b/>
              </w:rPr>
            </w:pPr>
            <w:r w:rsidRPr="00464929">
              <w:rPr>
                <w:rFonts w:ascii="Arial" w:hAnsi="Arial" w:cs="Arial"/>
                <w:b/>
              </w:rPr>
              <w:t>Disease-gene association</w:t>
            </w:r>
          </w:p>
        </w:tc>
        <w:tc>
          <w:tcPr>
            <w:tcW w:w="2965" w:type="dxa"/>
            <w:tcBorders>
              <w:top w:val="single" w:sz="4" w:space="0" w:color="auto"/>
              <w:left w:val="nil"/>
              <w:bottom w:val="single" w:sz="4" w:space="0" w:color="auto"/>
              <w:right w:val="nil"/>
            </w:tcBorders>
          </w:tcPr>
          <w:p w:rsidR="00106EF7" w:rsidRPr="00464929" w:rsidRDefault="00106EF7" w:rsidP="00722427">
            <w:pPr>
              <w:contextualSpacing/>
              <w:rPr>
                <w:rFonts w:ascii="Arial" w:hAnsi="Arial" w:cs="Arial"/>
                <w:b/>
              </w:rPr>
            </w:pPr>
            <w:r w:rsidRPr="00464929">
              <w:rPr>
                <w:rFonts w:ascii="Arial" w:hAnsi="Arial" w:cs="Arial"/>
                <w:b/>
              </w:rPr>
              <w:t>Biological role</w:t>
            </w:r>
          </w:p>
        </w:tc>
      </w:tr>
      <w:tr w:rsidR="00106EF7" w:rsidRPr="00464929" w:rsidTr="00722427">
        <w:trPr>
          <w:trHeight w:val="1373"/>
        </w:trPr>
        <w:tc>
          <w:tcPr>
            <w:tcW w:w="1101" w:type="dxa"/>
            <w:tcBorders>
              <w:top w:val="single" w:sz="4" w:space="0" w:color="auto"/>
              <w:left w:val="nil"/>
              <w:bottom w:val="nil"/>
              <w:right w:val="nil"/>
            </w:tcBorders>
          </w:tcPr>
          <w:p w:rsidR="00106EF7" w:rsidRPr="00464929" w:rsidRDefault="00106EF7" w:rsidP="00722427">
            <w:pPr>
              <w:contextualSpacing/>
              <w:rPr>
                <w:rFonts w:ascii="Arial" w:hAnsi="Arial" w:cs="Arial"/>
                <w:i/>
                <w:iCs/>
              </w:rPr>
            </w:pPr>
            <w:r w:rsidRPr="00464929">
              <w:rPr>
                <w:rFonts w:ascii="Arial" w:hAnsi="Arial" w:cs="Arial"/>
                <w:i/>
                <w:iCs/>
              </w:rPr>
              <w:t>NFIX</w:t>
            </w:r>
          </w:p>
        </w:tc>
        <w:tc>
          <w:tcPr>
            <w:tcW w:w="2382" w:type="dxa"/>
            <w:tcBorders>
              <w:top w:val="single" w:sz="4" w:space="0" w:color="auto"/>
              <w:left w:val="nil"/>
              <w:bottom w:val="nil"/>
              <w:right w:val="nil"/>
            </w:tcBorders>
          </w:tcPr>
          <w:p w:rsidR="00106EF7" w:rsidRPr="00464929" w:rsidRDefault="00106EF7" w:rsidP="00722427">
            <w:pPr>
              <w:contextualSpacing/>
              <w:rPr>
                <w:rFonts w:ascii="Arial" w:hAnsi="Arial" w:cs="Arial"/>
              </w:rPr>
            </w:pPr>
            <w:r w:rsidRPr="00464929">
              <w:rPr>
                <w:rFonts w:ascii="Arial" w:hAnsi="Arial" w:cs="Arial"/>
              </w:rPr>
              <w:t>GO:0003676</w:t>
            </w:r>
          </w:p>
          <w:p w:rsidR="00106EF7" w:rsidRPr="00464929" w:rsidRDefault="00106EF7" w:rsidP="00722427">
            <w:pPr>
              <w:contextualSpacing/>
              <w:rPr>
                <w:rFonts w:ascii="Arial" w:hAnsi="Arial" w:cs="Arial"/>
              </w:rPr>
            </w:pPr>
            <w:r w:rsidRPr="00464929">
              <w:rPr>
                <w:rFonts w:ascii="Arial" w:hAnsi="Arial" w:cs="Arial"/>
              </w:rPr>
              <w:t>Nucleic acid binding</w:t>
            </w:r>
          </w:p>
          <w:p w:rsidR="00106EF7" w:rsidRPr="00464929" w:rsidRDefault="00106EF7" w:rsidP="00722427">
            <w:pPr>
              <w:contextualSpacing/>
              <w:rPr>
                <w:rFonts w:ascii="Arial" w:hAnsi="Arial" w:cs="Arial"/>
              </w:rPr>
            </w:pPr>
            <w:r w:rsidRPr="00464929">
              <w:rPr>
                <w:rFonts w:ascii="Arial" w:hAnsi="Arial" w:cs="Arial"/>
              </w:rPr>
              <w:t>GO:0003899</w:t>
            </w:r>
          </w:p>
          <w:p w:rsidR="00106EF7" w:rsidRPr="00464929" w:rsidRDefault="00106EF7" w:rsidP="00722427">
            <w:pPr>
              <w:contextualSpacing/>
              <w:rPr>
                <w:rFonts w:ascii="Arial" w:hAnsi="Arial" w:cs="Arial"/>
              </w:rPr>
            </w:pPr>
            <w:r w:rsidRPr="00464929">
              <w:rPr>
                <w:rFonts w:ascii="Arial" w:hAnsi="Arial" w:cs="Arial"/>
              </w:rPr>
              <w:t>DNA-directed 5-3 RNA polymerase activity</w:t>
            </w:r>
          </w:p>
        </w:tc>
        <w:tc>
          <w:tcPr>
            <w:tcW w:w="1697" w:type="dxa"/>
            <w:tcBorders>
              <w:top w:val="single" w:sz="4" w:space="0" w:color="auto"/>
              <w:left w:val="nil"/>
              <w:bottom w:val="nil"/>
              <w:right w:val="nil"/>
            </w:tcBorders>
          </w:tcPr>
          <w:p w:rsidR="00106EF7" w:rsidRPr="00464929" w:rsidRDefault="00106EF7" w:rsidP="00722427">
            <w:pPr>
              <w:contextualSpacing/>
              <w:rPr>
                <w:rFonts w:ascii="Arial" w:hAnsi="Arial" w:cs="Arial"/>
              </w:rPr>
            </w:pPr>
            <w:proofErr w:type="gramStart"/>
            <w:r w:rsidRPr="00464929">
              <w:rPr>
                <w:rFonts w:ascii="Arial" w:hAnsi="Arial" w:cs="Arial"/>
              </w:rPr>
              <w:t>hsa03020</w:t>
            </w:r>
            <w:proofErr w:type="gramEnd"/>
          </w:p>
          <w:p w:rsidR="00106EF7" w:rsidRPr="00464929" w:rsidRDefault="00106EF7" w:rsidP="00722427">
            <w:pPr>
              <w:contextualSpacing/>
              <w:rPr>
                <w:rFonts w:ascii="Arial" w:hAnsi="Arial" w:cs="Arial"/>
              </w:rPr>
            </w:pPr>
            <w:r w:rsidRPr="00464929">
              <w:rPr>
                <w:rFonts w:ascii="Arial" w:hAnsi="Arial" w:cs="Arial"/>
              </w:rPr>
              <w:t>RNA polymerase</w:t>
            </w:r>
          </w:p>
          <w:p w:rsidR="00106EF7" w:rsidRPr="00464929" w:rsidRDefault="00106EF7" w:rsidP="00722427">
            <w:pPr>
              <w:contextualSpacing/>
              <w:rPr>
                <w:rFonts w:ascii="Arial" w:hAnsi="Arial" w:cs="Arial"/>
              </w:rPr>
            </w:pPr>
            <w:proofErr w:type="gramStart"/>
            <w:r w:rsidRPr="00464929">
              <w:rPr>
                <w:rFonts w:ascii="Arial" w:hAnsi="Arial" w:cs="Arial"/>
              </w:rPr>
              <w:t>hsa04623</w:t>
            </w:r>
            <w:proofErr w:type="gramEnd"/>
          </w:p>
          <w:p w:rsidR="00106EF7" w:rsidRPr="00464929" w:rsidRDefault="00106EF7" w:rsidP="00722427">
            <w:pPr>
              <w:contextualSpacing/>
              <w:rPr>
                <w:rFonts w:ascii="Arial" w:hAnsi="Arial" w:cs="Arial"/>
              </w:rPr>
            </w:pPr>
            <w:r w:rsidRPr="00464929">
              <w:rPr>
                <w:rFonts w:ascii="Arial" w:hAnsi="Arial" w:cs="Arial"/>
              </w:rPr>
              <w:t>Cytosolic DNA-sensing pathway</w:t>
            </w:r>
          </w:p>
        </w:tc>
        <w:tc>
          <w:tcPr>
            <w:tcW w:w="2225" w:type="dxa"/>
            <w:tcBorders>
              <w:top w:val="single" w:sz="4" w:space="0" w:color="auto"/>
              <w:left w:val="nil"/>
              <w:bottom w:val="nil"/>
              <w:right w:val="nil"/>
            </w:tcBorders>
          </w:tcPr>
          <w:p w:rsidR="00106EF7" w:rsidRPr="00464929" w:rsidRDefault="00106EF7" w:rsidP="00722427">
            <w:pPr>
              <w:contextualSpacing/>
              <w:rPr>
                <w:rFonts w:ascii="Arial" w:hAnsi="Arial" w:cs="Arial"/>
              </w:rPr>
            </w:pPr>
          </w:p>
        </w:tc>
        <w:tc>
          <w:tcPr>
            <w:tcW w:w="2965" w:type="dxa"/>
            <w:tcBorders>
              <w:top w:val="single" w:sz="4" w:space="0" w:color="auto"/>
              <w:left w:val="nil"/>
              <w:bottom w:val="nil"/>
              <w:right w:val="nil"/>
            </w:tcBorders>
          </w:tcPr>
          <w:p w:rsidR="00106EF7" w:rsidRPr="00464929" w:rsidRDefault="00106EF7" w:rsidP="00722427">
            <w:pPr>
              <w:contextualSpacing/>
              <w:rPr>
                <w:rFonts w:ascii="Arial" w:hAnsi="Arial" w:cs="Arial"/>
              </w:rPr>
            </w:pPr>
          </w:p>
        </w:tc>
      </w:tr>
      <w:tr w:rsidR="00106EF7" w:rsidRPr="00464929" w:rsidTr="00722427">
        <w:trPr>
          <w:trHeight w:val="2785"/>
        </w:trPr>
        <w:tc>
          <w:tcPr>
            <w:tcW w:w="1101" w:type="dxa"/>
            <w:tcBorders>
              <w:top w:val="nil"/>
              <w:left w:val="nil"/>
              <w:bottom w:val="nil"/>
              <w:right w:val="nil"/>
            </w:tcBorders>
          </w:tcPr>
          <w:p w:rsidR="00106EF7" w:rsidRPr="00464929" w:rsidRDefault="00106EF7" w:rsidP="00722427">
            <w:pPr>
              <w:contextualSpacing/>
              <w:rPr>
                <w:rFonts w:ascii="Arial" w:hAnsi="Arial" w:cs="Arial"/>
                <w:i/>
                <w:iCs/>
              </w:rPr>
            </w:pPr>
            <w:r w:rsidRPr="00464929">
              <w:rPr>
                <w:rFonts w:ascii="Arial" w:hAnsi="Arial" w:cs="Arial"/>
                <w:i/>
                <w:iCs/>
                <w:color w:val="000000"/>
              </w:rPr>
              <w:t>CEMIP2</w:t>
            </w:r>
          </w:p>
        </w:tc>
        <w:tc>
          <w:tcPr>
            <w:tcW w:w="2382" w:type="dxa"/>
            <w:tcBorders>
              <w:top w:val="nil"/>
              <w:left w:val="nil"/>
              <w:bottom w:val="nil"/>
              <w:right w:val="nil"/>
            </w:tcBorders>
          </w:tcPr>
          <w:p w:rsidR="00106EF7" w:rsidRPr="00464929" w:rsidRDefault="00106EF7" w:rsidP="00722427">
            <w:pPr>
              <w:contextualSpacing/>
              <w:rPr>
                <w:rFonts w:ascii="Arial" w:hAnsi="Arial" w:cs="Arial"/>
              </w:rPr>
            </w:pPr>
            <w:r w:rsidRPr="00464929">
              <w:rPr>
                <w:rFonts w:ascii="Arial" w:hAnsi="Arial" w:cs="Arial"/>
              </w:rPr>
              <w:t>GO:0030214</w:t>
            </w:r>
          </w:p>
          <w:p w:rsidR="00106EF7" w:rsidRPr="00464929" w:rsidRDefault="00106EF7" w:rsidP="00722427">
            <w:pPr>
              <w:contextualSpacing/>
              <w:rPr>
                <w:rFonts w:ascii="Arial" w:hAnsi="Arial" w:cs="Arial"/>
              </w:rPr>
            </w:pPr>
            <w:proofErr w:type="spellStart"/>
            <w:r w:rsidRPr="00464929">
              <w:rPr>
                <w:rFonts w:ascii="Arial" w:hAnsi="Arial" w:cs="Arial"/>
              </w:rPr>
              <w:t>Hyaluronan</w:t>
            </w:r>
            <w:proofErr w:type="spellEnd"/>
            <w:r w:rsidRPr="00464929">
              <w:rPr>
                <w:rFonts w:ascii="Arial" w:hAnsi="Arial" w:cs="Arial"/>
              </w:rPr>
              <w:t xml:space="preserve"> catabolic process</w:t>
            </w:r>
          </w:p>
          <w:p w:rsidR="00106EF7" w:rsidRPr="00464929" w:rsidRDefault="00106EF7" w:rsidP="00722427">
            <w:pPr>
              <w:contextualSpacing/>
              <w:rPr>
                <w:rFonts w:ascii="Arial" w:hAnsi="Arial" w:cs="Arial"/>
              </w:rPr>
            </w:pPr>
            <w:r w:rsidRPr="00464929">
              <w:rPr>
                <w:rFonts w:ascii="Arial" w:hAnsi="Arial" w:cs="Arial"/>
              </w:rPr>
              <w:t>GO:0004415</w:t>
            </w:r>
          </w:p>
          <w:p w:rsidR="00106EF7" w:rsidRPr="00464929" w:rsidRDefault="00106EF7" w:rsidP="00722427">
            <w:pPr>
              <w:contextualSpacing/>
              <w:rPr>
                <w:rFonts w:ascii="Arial" w:hAnsi="Arial" w:cs="Arial"/>
              </w:rPr>
            </w:pPr>
            <w:proofErr w:type="spellStart"/>
            <w:r w:rsidRPr="00464929">
              <w:rPr>
                <w:rFonts w:ascii="Arial" w:hAnsi="Arial" w:cs="Arial"/>
              </w:rPr>
              <w:t>Hyalurononglucosaminidase</w:t>
            </w:r>
            <w:proofErr w:type="spellEnd"/>
            <w:r w:rsidRPr="00464929">
              <w:rPr>
                <w:rFonts w:ascii="Arial" w:hAnsi="Arial" w:cs="Arial"/>
              </w:rPr>
              <w:t xml:space="preserve"> activity</w:t>
            </w:r>
          </w:p>
          <w:p w:rsidR="00106EF7" w:rsidRPr="00464929" w:rsidRDefault="00106EF7" w:rsidP="00722427">
            <w:pPr>
              <w:contextualSpacing/>
              <w:rPr>
                <w:rFonts w:ascii="Arial" w:hAnsi="Arial" w:cs="Arial"/>
              </w:rPr>
            </w:pPr>
            <w:r w:rsidRPr="00464929">
              <w:rPr>
                <w:rFonts w:ascii="Arial" w:hAnsi="Arial" w:cs="Arial"/>
              </w:rPr>
              <w:t>GO:0004553</w:t>
            </w:r>
          </w:p>
          <w:p w:rsidR="00106EF7" w:rsidRPr="00464929" w:rsidRDefault="00106EF7" w:rsidP="00722427">
            <w:pPr>
              <w:contextualSpacing/>
              <w:rPr>
                <w:rFonts w:ascii="Arial" w:hAnsi="Arial" w:cs="Arial"/>
              </w:rPr>
            </w:pPr>
            <w:r w:rsidRPr="00464929">
              <w:rPr>
                <w:rFonts w:ascii="Arial" w:hAnsi="Arial" w:cs="Arial"/>
              </w:rPr>
              <w:t>Hydrolase activity, hydrolyzing o-</w:t>
            </w:r>
            <w:proofErr w:type="spellStart"/>
            <w:r w:rsidRPr="00464929">
              <w:rPr>
                <w:rFonts w:ascii="Arial" w:hAnsi="Arial" w:cs="Arial"/>
              </w:rPr>
              <w:t>glycosyl</w:t>
            </w:r>
            <w:proofErr w:type="spellEnd"/>
            <w:r w:rsidRPr="00464929">
              <w:rPr>
                <w:rFonts w:ascii="Arial" w:hAnsi="Arial" w:cs="Arial"/>
              </w:rPr>
              <w:t xml:space="preserve"> compounds</w:t>
            </w:r>
          </w:p>
        </w:tc>
        <w:tc>
          <w:tcPr>
            <w:tcW w:w="1697" w:type="dxa"/>
            <w:tcBorders>
              <w:top w:val="nil"/>
              <w:left w:val="nil"/>
              <w:bottom w:val="nil"/>
              <w:right w:val="nil"/>
            </w:tcBorders>
          </w:tcPr>
          <w:p w:rsidR="00106EF7" w:rsidRPr="00464929" w:rsidRDefault="00106EF7" w:rsidP="00722427">
            <w:pPr>
              <w:contextualSpacing/>
              <w:rPr>
                <w:rFonts w:ascii="Arial" w:hAnsi="Arial" w:cs="Arial"/>
              </w:rPr>
            </w:pPr>
            <w:proofErr w:type="gramStart"/>
            <w:r w:rsidRPr="00464929">
              <w:rPr>
                <w:rFonts w:ascii="Arial" w:hAnsi="Arial" w:cs="Arial"/>
              </w:rPr>
              <w:t>hsa00531</w:t>
            </w:r>
            <w:proofErr w:type="gramEnd"/>
          </w:p>
          <w:p w:rsidR="00106EF7" w:rsidRPr="00464929" w:rsidRDefault="00106EF7" w:rsidP="00722427">
            <w:pPr>
              <w:contextualSpacing/>
              <w:rPr>
                <w:rFonts w:ascii="Arial" w:hAnsi="Arial" w:cs="Arial"/>
              </w:rPr>
            </w:pPr>
            <w:r w:rsidRPr="00464929">
              <w:rPr>
                <w:rFonts w:ascii="Arial" w:hAnsi="Arial" w:cs="Arial"/>
              </w:rPr>
              <w:t>Glycosaminoglycan degradation</w:t>
            </w:r>
          </w:p>
          <w:p w:rsidR="00106EF7" w:rsidRPr="00464929" w:rsidRDefault="00106EF7" w:rsidP="00722427">
            <w:pPr>
              <w:contextualSpacing/>
              <w:rPr>
                <w:rFonts w:ascii="Arial" w:hAnsi="Arial" w:cs="Arial"/>
              </w:rPr>
            </w:pPr>
            <w:proofErr w:type="gramStart"/>
            <w:r w:rsidRPr="00464929">
              <w:rPr>
                <w:rFonts w:ascii="Arial" w:hAnsi="Arial" w:cs="Arial"/>
              </w:rPr>
              <w:t>hsa04142</w:t>
            </w:r>
            <w:proofErr w:type="gramEnd"/>
          </w:p>
          <w:p w:rsidR="00106EF7" w:rsidRPr="00464929" w:rsidRDefault="00106EF7" w:rsidP="00722427">
            <w:pPr>
              <w:contextualSpacing/>
              <w:rPr>
                <w:rFonts w:ascii="Arial" w:hAnsi="Arial" w:cs="Arial"/>
              </w:rPr>
            </w:pPr>
            <w:r w:rsidRPr="00464929">
              <w:rPr>
                <w:rFonts w:ascii="Arial" w:hAnsi="Arial" w:cs="Arial"/>
              </w:rPr>
              <w:t>Lysosome</w:t>
            </w:r>
          </w:p>
        </w:tc>
        <w:tc>
          <w:tcPr>
            <w:tcW w:w="2225" w:type="dxa"/>
            <w:tcBorders>
              <w:top w:val="nil"/>
              <w:left w:val="nil"/>
              <w:bottom w:val="nil"/>
              <w:right w:val="nil"/>
            </w:tcBorders>
          </w:tcPr>
          <w:p w:rsidR="00106EF7" w:rsidRPr="00464929" w:rsidRDefault="00106EF7" w:rsidP="00722427">
            <w:pPr>
              <w:contextualSpacing/>
              <w:rPr>
                <w:rFonts w:ascii="Arial" w:hAnsi="Arial" w:cs="Arial"/>
              </w:rPr>
            </w:pPr>
            <w:r w:rsidRPr="00464929">
              <w:rPr>
                <w:rFonts w:ascii="Arial" w:hAnsi="Arial" w:cs="Arial"/>
              </w:rPr>
              <w:t>DOID:0050809</w:t>
            </w:r>
          </w:p>
          <w:p w:rsidR="00106EF7" w:rsidRPr="00464929" w:rsidRDefault="00106EF7" w:rsidP="00722427">
            <w:pPr>
              <w:contextualSpacing/>
              <w:rPr>
                <w:rFonts w:ascii="Arial" w:hAnsi="Arial" w:cs="Arial"/>
              </w:rPr>
            </w:pPr>
            <w:proofErr w:type="spellStart"/>
            <w:r w:rsidRPr="00464929">
              <w:rPr>
                <w:rFonts w:ascii="Arial" w:hAnsi="Arial" w:cs="Arial"/>
              </w:rPr>
              <w:t>Mucopolysaccharidosis</w:t>
            </w:r>
            <w:proofErr w:type="spellEnd"/>
            <w:r w:rsidRPr="00464929">
              <w:rPr>
                <w:rFonts w:ascii="Arial" w:hAnsi="Arial" w:cs="Arial"/>
              </w:rPr>
              <w:t xml:space="preserve"> ix</w:t>
            </w:r>
          </w:p>
          <w:p w:rsidR="00106EF7" w:rsidRPr="00464929" w:rsidRDefault="00106EF7" w:rsidP="00722427">
            <w:pPr>
              <w:contextualSpacing/>
              <w:rPr>
                <w:rFonts w:ascii="Arial" w:hAnsi="Arial" w:cs="Arial"/>
              </w:rPr>
            </w:pPr>
            <w:r w:rsidRPr="00464929">
              <w:rPr>
                <w:rFonts w:ascii="Arial" w:hAnsi="Arial" w:cs="Arial"/>
              </w:rPr>
              <w:t>DOID</w:t>
            </w:r>
            <w:proofErr w:type="gramStart"/>
            <w:r w:rsidRPr="00464929">
              <w:rPr>
                <w:rFonts w:ascii="Arial" w:hAnsi="Arial" w:cs="Arial"/>
              </w:rPr>
              <w:t>:3211</w:t>
            </w:r>
            <w:proofErr w:type="gramEnd"/>
          </w:p>
          <w:p w:rsidR="00106EF7" w:rsidRPr="00464929" w:rsidRDefault="00106EF7" w:rsidP="00722427">
            <w:pPr>
              <w:contextualSpacing/>
              <w:rPr>
                <w:rFonts w:ascii="Arial" w:hAnsi="Arial" w:cs="Arial"/>
              </w:rPr>
            </w:pPr>
            <w:proofErr w:type="spellStart"/>
            <w:r w:rsidRPr="00464929">
              <w:rPr>
                <w:rFonts w:ascii="Arial" w:hAnsi="Arial" w:cs="Arial"/>
              </w:rPr>
              <w:t>Lysosomal</w:t>
            </w:r>
            <w:proofErr w:type="spellEnd"/>
            <w:r w:rsidRPr="00464929">
              <w:rPr>
                <w:rFonts w:ascii="Arial" w:hAnsi="Arial" w:cs="Arial"/>
              </w:rPr>
              <w:t xml:space="preserve"> storage disease</w:t>
            </w:r>
          </w:p>
        </w:tc>
        <w:tc>
          <w:tcPr>
            <w:tcW w:w="2965" w:type="dxa"/>
            <w:tcBorders>
              <w:top w:val="nil"/>
              <w:left w:val="nil"/>
              <w:bottom w:val="nil"/>
              <w:right w:val="nil"/>
            </w:tcBorders>
          </w:tcPr>
          <w:p w:rsidR="00106EF7" w:rsidRPr="00464929" w:rsidRDefault="00106EF7" w:rsidP="00722427">
            <w:pPr>
              <w:contextualSpacing/>
              <w:rPr>
                <w:rFonts w:ascii="Arial" w:hAnsi="Arial" w:cs="Arial"/>
              </w:rPr>
            </w:pPr>
          </w:p>
        </w:tc>
      </w:tr>
      <w:tr w:rsidR="00106EF7" w:rsidRPr="00464929" w:rsidTr="00722427">
        <w:trPr>
          <w:trHeight w:val="3052"/>
        </w:trPr>
        <w:tc>
          <w:tcPr>
            <w:tcW w:w="1101" w:type="dxa"/>
            <w:tcBorders>
              <w:top w:val="nil"/>
              <w:left w:val="nil"/>
              <w:bottom w:val="nil"/>
              <w:right w:val="nil"/>
            </w:tcBorders>
          </w:tcPr>
          <w:p w:rsidR="00106EF7" w:rsidRPr="00464929" w:rsidRDefault="00106EF7" w:rsidP="00722427">
            <w:pPr>
              <w:contextualSpacing/>
              <w:rPr>
                <w:rFonts w:ascii="Arial" w:hAnsi="Arial" w:cs="Arial"/>
                <w:color w:val="000000"/>
              </w:rPr>
            </w:pPr>
            <w:r w:rsidRPr="00464929">
              <w:rPr>
                <w:rFonts w:ascii="Arial" w:hAnsi="Arial" w:cs="Arial"/>
                <w:color w:val="000000"/>
              </w:rPr>
              <w:t>ADAMTSL4</w:t>
            </w:r>
          </w:p>
          <w:p w:rsidR="00106EF7" w:rsidRPr="00464929" w:rsidRDefault="00106EF7" w:rsidP="00722427">
            <w:pPr>
              <w:contextualSpacing/>
              <w:rPr>
                <w:rFonts w:ascii="Arial" w:hAnsi="Arial" w:cs="Arial"/>
              </w:rPr>
            </w:pPr>
          </w:p>
        </w:tc>
        <w:tc>
          <w:tcPr>
            <w:tcW w:w="2382" w:type="dxa"/>
            <w:tcBorders>
              <w:top w:val="nil"/>
              <w:left w:val="nil"/>
              <w:bottom w:val="nil"/>
              <w:right w:val="nil"/>
            </w:tcBorders>
          </w:tcPr>
          <w:p w:rsidR="00106EF7" w:rsidRPr="00464929" w:rsidRDefault="00106EF7" w:rsidP="00722427">
            <w:pPr>
              <w:contextualSpacing/>
              <w:rPr>
                <w:rFonts w:ascii="Arial" w:hAnsi="Arial" w:cs="Arial"/>
              </w:rPr>
            </w:pPr>
            <w:r w:rsidRPr="00464929">
              <w:rPr>
                <w:rFonts w:ascii="Arial" w:hAnsi="Arial" w:cs="Arial"/>
              </w:rPr>
              <w:t>GO:0004222</w:t>
            </w:r>
          </w:p>
          <w:p w:rsidR="00106EF7" w:rsidRPr="00464929" w:rsidRDefault="00106EF7" w:rsidP="00722427">
            <w:pPr>
              <w:contextualSpacing/>
              <w:rPr>
                <w:rFonts w:ascii="Arial" w:hAnsi="Arial" w:cs="Arial"/>
              </w:rPr>
            </w:pPr>
            <w:proofErr w:type="spellStart"/>
            <w:r w:rsidRPr="00464929">
              <w:rPr>
                <w:rFonts w:ascii="Arial" w:hAnsi="Arial" w:cs="Arial"/>
              </w:rPr>
              <w:t>Metalloendopeptidase</w:t>
            </w:r>
            <w:proofErr w:type="spellEnd"/>
            <w:r w:rsidRPr="00464929">
              <w:rPr>
                <w:rFonts w:ascii="Arial" w:hAnsi="Arial" w:cs="Arial"/>
              </w:rPr>
              <w:t xml:space="preserve"> activity</w:t>
            </w:r>
          </w:p>
          <w:p w:rsidR="00106EF7" w:rsidRPr="00464929" w:rsidRDefault="00106EF7" w:rsidP="00722427">
            <w:pPr>
              <w:contextualSpacing/>
              <w:rPr>
                <w:rFonts w:ascii="Arial" w:hAnsi="Arial" w:cs="Arial"/>
              </w:rPr>
            </w:pPr>
            <w:r w:rsidRPr="00464929">
              <w:rPr>
                <w:rFonts w:ascii="Arial" w:hAnsi="Arial" w:cs="Arial"/>
              </w:rPr>
              <w:t>GO:0008233</w:t>
            </w:r>
          </w:p>
          <w:p w:rsidR="00106EF7" w:rsidRPr="00464929" w:rsidRDefault="00106EF7" w:rsidP="00722427">
            <w:pPr>
              <w:contextualSpacing/>
              <w:rPr>
                <w:rFonts w:ascii="Arial" w:hAnsi="Arial" w:cs="Arial"/>
              </w:rPr>
            </w:pPr>
            <w:r w:rsidRPr="00464929">
              <w:rPr>
                <w:rFonts w:ascii="Arial" w:hAnsi="Arial" w:cs="Arial"/>
              </w:rPr>
              <w:t>Peptidase activity</w:t>
            </w:r>
          </w:p>
          <w:p w:rsidR="00106EF7" w:rsidRPr="00464929" w:rsidRDefault="00106EF7" w:rsidP="00722427">
            <w:pPr>
              <w:contextualSpacing/>
              <w:rPr>
                <w:rFonts w:ascii="Arial" w:hAnsi="Arial" w:cs="Arial"/>
              </w:rPr>
            </w:pPr>
            <w:r w:rsidRPr="00464929">
              <w:rPr>
                <w:rFonts w:ascii="Arial" w:hAnsi="Arial" w:cs="Arial"/>
              </w:rPr>
              <w:t>GO:0031012</w:t>
            </w:r>
          </w:p>
          <w:p w:rsidR="00106EF7" w:rsidRPr="00464929" w:rsidRDefault="00106EF7" w:rsidP="00722427">
            <w:pPr>
              <w:contextualSpacing/>
              <w:rPr>
                <w:rFonts w:ascii="Arial" w:hAnsi="Arial" w:cs="Arial"/>
              </w:rPr>
            </w:pPr>
            <w:r w:rsidRPr="00464929">
              <w:rPr>
                <w:rFonts w:ascii="Arial" w:hAnsi="Arial" w:cs="Arial"/>
              </w:rPr>
              <w:t>Extracellular matrix</w:t>
            </w:r>
          </w:p>
        </w:tc>
        <w:tc>
          <w:tcPr>
            <w:tcW w:w="1697" w:type="dxa"/>
            <w:tcBorders>
              <w:top w:val="nil"/>
              <w:left w:val="nil"/>
              <w:bottom w:val="nil"/>
              <w:right w:val="nil"/>
            </w:tcBorders>
          </w:tcPr>
          <w:p w:rsidR="00106EF7" w:rsidRPr="00464929" w:rsidRDefault="00106EF7" w:rsidP="00722427">
            <w:pPr>
              <w:contextualSpacing/>
              <w:rPr>
                <w:rFonts w:ascii="Arial" w:hAnsi="Arial" w:cs="Arial"/>
              </w:rPr>
            </w:pPr>
          </w:p>
        </w:tc>
        <w:tc>
          <w:tcPr>
            <w:tcW w:w="2225" w:type="dxa"/>
            <w:tcBorders>
              <w:top w:val="nil"/>
              <w:left w:val="nil"/>
              <w:bottom w:val="nil"/>
              <w:right w:val="nil"/>
            </w:tcBorders>
          </w:tcPr>
          <w:p w:rsidR="00106EF7" w:rsidRPr="00464929" w:rsidRDefault="00106EF7" w:rsidP="00722427">
            <w:pPr>
              <w:contextualSpacing/>
              <w:rPr>
                <w:rFonts w:ascii="Arial" w:hAnsi="Arial" w:cs="Arial"/>
              </w:rPr>
            </w:pPr>
            <w:r w:rsidRPr="00464929">
              <w:rPr>
                <w:rFonts w:ascii="Arial" w:hAnsi="Arial" w:cs="Arial"/>
              </w:rPr>
              <w:t>DOID:0080201</w:t>
            </w:r>
          </w:p>
          <w:p w:rsidR="00106EF7" w:rsidRPr="00464929" w:rsidRDefault="00106EF7" w:rsidP="00722427">
            <w:pPr>
              <w:contextualSpacing/>
              <w:rPr>
                <w:rFonts w:ascii="Arial" w:hAnsi="Arial" w:cs="Arial"/>
              </w:rPr>
            </w:pPr>
            <w:r w:rsidRPr="00464929">
              <w:rPr>
                <w:rFonts w:ascii="Arial" w:hAnsi="Arial" w:cs="Arial"/>
              </w:rPr>
              <w:t>Peters plus syndrome</w:t>
            </w:r>
          </w:p>
          <w:p w:rsidR="00106EF7" w:rsidRPr="00464929" w:rsidRDefault="00106EF7" w:rsidP="00722427">
            <w:pPr>
              <w:contextualSpacing/>
              <w:rPr>
                <w:rFonts w:ascii="Arial" w:hAnsi="Arial" w:cs="Arial"/>
              </w:rPr>
            </w:pPr>
            <w:r w:rsidRPr="00464929">
              <w:rPr>
                <w:rFonts w:ascii="Arial" w:hAnsi="Arial" w:cs="Arial"/>
              </w:rPr>
              <w:t>DOID:0050475</w:t>
            </w:r>
          </w:p>
          <w:p w:rsidR="00106EF7" w:rsidRPr="00464929" w:rsidRDefault="00106EF7" w:rsidP="00722427">
            <w:pPr>
              <w:contextualSpacing/>
              <w:rPr>
                <w:rFonts w:ascii="Arial" w:hAnsi="Arial" w:cs="Arial"/>
              </w:rPr>
            </w:pPr>
            <w:r w:rsidRPr="00464929">
              <w:rPr>
                <w:rFonts w:ascii="Arial" w:hAnsi="Arial" w:cs="Arial"/>
              </w:rPr>
              <w:t>Weill-</w:t>
            </w:r>
            <w:proofErr w:type="spellStart"/>
            <w:r w:rsidRPr="00464929">
              <w:rPr>
                <w:rFonts w:ascii="Arial" w:hAnsi="Arial" w:cs="Arial"/>
              </w:rPr>
              <w:t>Marchesani</w:t>
            </w:r>
            <w:proofErr w:type="spellEnd"/>
            <w:r w:rsidRPr="00464929">
              <w:rPr>
                <w:rFonts w:ascii="Arial" w:hAnsi="Arial" w:cs="Arial"/>
              </w:rPr>
              <w:t xml:space="preserve"> syndrome</w:t>
            </w:r>
          </w:p>
          <w:p w:rsidR="00106EF7" w:rsidRPr="00464929" w:rsidRDefault="00106EF7" w:rsidP="00722427">
            <w:pPr>
              <w:contextualSpacing/>
              <w:rPr>
                <w:rFonts w:ascii="Arial" w:hAnsi="Arial" w:cs="Arial"/>
              </w:rPr>
            </w:pPr>
            <w:r w:rsidRPr="00464929">
              <w:rPr>
                <w:rFonts w:ascii="Arial" w:hAnsi="Arial" w:cs="Arial"/>
              </w:rPr>
              <w:t>DOID:0111148</w:t>
            </w:r>
          </w:p>
          <w:p w:rsidR="00106EF7" w:rsidRPr="00464929" w:rsidRDefault="00106EF7" w:rsidP="00722427">
            <w:pPr>
              <w:contextualSpacing/>
              <w:rPr>
                <w:rFonts w:ascii="Arial" w:hAnsi="Arial" w:cs="Arial"/>
              </w:rPr>
            </w:pPr>
            <w:r w:rsidRPr="00464929">
              <w:rPr>
                <w:rFonts w:ascii="Arial" w:hAnsi="Arial" w:cs="Arial"/>
              </w:rPr>
              <w:t xml:space="preserve">Isolated </w:t>
            </w:r>
            <w:proofErr w:type="spellStart"/>
            <w:r w:rsidRPr="00464929">
              <w:rPr>
                <w:rFonts w:ascii="Arial" w:hAnsi="Arial" w:cs="Arial"/>
              </w:rPr>
              <w:t>ectopia</w:t>
            </w:r>
            <w:proofErr w:type="spellEnd"/>
            <w:r w:rsidRPr="00464929">
              <w:rPr>
                <w:rFonts w:ascii="Arial" w:hAnsi="Arial" w:cs="Arial"/>
              </w:rPr>
              <w:t xml:space="preserve"> </w:t>
            </w:r>
            <w:proofErr w:type="spellStart"/>
            <w:r w:rsidRPr="00464929">
              <w:rPr>
                <w:rFonts w:ascii="Arial" w:hAnsi="Arial" w:cs="Arial"/>
              </w:rPr>
              <w:t>lentis</w:t>
            </w:r>
            <w:proofErr w:type="spellEnd"/>
          </w:p>
          <w:p w:rsidR="00106EF7" w:rsidRPr="00464929" w:rsidRDefault="00106EF7" w:rsidP="00722427">
            <w:pPr>
              <w:contextualSpacing/>
              <w:rPr>
                <w:rFonts w:ascii="Arial" w:hAnsi="Arial" w:cs="Arial"/>
              </w:rPr>
            </w:pPr>
            <w:r w:rsidRPr="00464929">
              <w:rPr>
                <w:rFonts w:ascii="Arial" w:hAnsi="Arial" w:cs="Arial"/>
              </w:rPr>
              <w:t>DOID:0111243</w:t>
            </w:r>
          </w:p>
          <w:p w:rsidR="00106EF7" w:rsidRPr="00464929" w:rsidRDefault="00106EF7" w:rsidP="00722427">
            <w:pPr>
              <w:contextualSpacing/>
              <w:rPr>
                <w:rFonts w:ascii="Arial" w:hAnsi="Arial" w:cs="Arial"/>
              </w:rPr>
            </w:pPr>
            <w:proofErr w:type="spellStart"/>
            <w:r w:rsidRPr="00464929">
              <w:rPr>
                <w:rFonts w:ascii="Arial" w:hAnsi="Arial" w:cs="Arial"/>
              </w:rPr>
              <w:t>Acromicric</w:t>
            </w:r>
            <w:proofErr w:type="spellEnd"/>
            <w:r w:rsidRPr="00464929">
              <w:rPr>
                <w:rFonts w:ascii="Arial" w:hAnsi="Arial" w:cs="Arial"/>
              </w:rPr>
              <w:t xml:space="preserve"> dysplasia</w:t>
            </w:r>
          </w:p>
          <w:p w:rsidR="00106EF7" w:rsidRPr="00464929" w:rsidRDefault="00106EF7" w:rsidP="00722427">
            <w:pPr>
              <w:contextualSpacing/>
              <w:rPr>
                <w:rFonts w:ascii="Arial" w:hAnsi="Arial" w:cs="Arial"/>
              </w:rPr>
            </w:pPr>
            <w:r w:rsidRPr="00464929">
              <w:rPr>
                <w:rFonts w:ascii="Arial" w:hAnsi="Arial" w:cs="Arial"/>
              </w:rPr>
              <w:t>DOID:0111724</w:t>
            </w:r>
          </w:p>
          <w:p w:rsidR="00106EF7" w:rsidRPr="00464929" w:rsidRDefault="00106EF7" w:rsidP="00722427">
            <w:pPr>
              <w:contextualSpacing/>
              <w:rPr>
                <w:rFonts w:ascii="Arial" w:hAnsi="Arial" w:cs="Arial"/>
              </w:rPr>
            </w:pPr>
            <w:proofErr w:type="spellStart"/>
            <w:r w:rsidRPr="00464929">
              <w:rPr>
                <w:rFonts w:ascii="Arial" w:hAnsi="Arial" w:cs="Arial"/>
              </w:rPr>
              <w:t>Geleophysic</w:t>
            </w:r>
            <w:proofErr w:type="spellEnd"/>
            <w:r w:rsidRPr="00464929">
              <w:rPr>
                <w:rFonts w:ascii="Arial" w:hAnsi="Arial" w:cs="Arial"/>
              </w:rPr>
              <w:t xml:space="preserve"> dysplasia</w:t>
            </w:r>
          </w:p>
        </w:tc>
        <w:tc>
          <w:tcPr>
            <w:tcW w:w="2965" w:type="dxa"/>
            <w:tcBorders>
              <w:top w:val="nil"/>
              <w:left w:val="nil"/>
              <w:bottom w:val="nil"/>
              <w:right w:val="nil"/>
            </w:tcBorders>
          </w:tcPr>
          <w:p w:rsidR="00106EF7" w:rsidRPr="00464929" w:rsidRDefault="00106EF7" w:rsidP="00722427">
            <w:pPr>
              <w:contextualSpacing/>
              <w:rPr>
                <w:rFonts w:ascii="Arial" w:hAnsi="Arial" w:cs="Arial"/>
              </w:rPr>
            </w:pPr>
            <w:r w:rsidRPr="00464929">
              <w:rPr>
                <w:rFonts w:ascii="Arial" w:hAnsi="Arial" w:cs="Arial"/>
              </w:rPr>
              <w:t>ADAMTS-like proteins reside in the extracellular matrix and regulate its assembly</w:t>
            </w:r>
          </w:p>
          <w:p w:rsidR="00106EF7" w:rsidRPr="00464929" w:rsidRDefault="00106EF7" w:rsidP="00722427">
            <w:pPr>
              <w:contextualSpacing/>
              <w:rPr>
                <w:rFonts w:ascii="Arial" w:hAnsi="Arial" w:cs="Arial"/>
              </w:rPr>
            </w:pPr>
          </w:p>
        </w:tc>
      </w:tr>
      <w:tr w:rsidR="00106EF7" w:rsidRPr="00464929" w:rsidTr="00722427">
        <w:trPr>
          <w:trHeight w:val="571"/>
        </w:trPr>
        <w:tc>
          <w:tcPr>
            <w:tcW w:w="1101" w:type="dxa"/>
            <w:tcBorders>
              <w:top w:val="nil"/>
              <w:left w:val="nil"/>
              <w:bottom w:val="nil"/>
              <w:right w:val="nil"/>
            </w:tcBorders>
          </w:tcPr>
          <w:p w:rsidR="00106EF7" w:rsidRPr="00464929" w:rsidRDefault="00106EF7" w:rsidP="00722427">
            <w:pPr>
              <w:contextualSpacing/>
              <w:rPr>
                <w:rFonts w:ascii="Arial" w:hAnsi="Arial" w:cs="Arial"/>
                <w:color w:val="000000"/>
              </w:rPr>
            </w:pPr>
          </w:p>
          <w:p w:rsidR="00106EF7" w:rsidRPr="00464929" w:rsidRDefault="00106EF7" w:rsidP="00722427">
            <w:pPr>
              <w:contextualSpacing/>
              <w:rPr>
                <w:rFonts w:ascii="Arial" w:hAnsi="Arial" w:cs="Arial"/>
                <w:i/>
                <w:iCs/>
                <w:color w:val="000000"/>
              </w:rPr>
            </w:pPr>
            <w:r w:rsidRPr="00464929">
              <w:rPr>
                <w:rFonts w:ascii="Arial" w:hAnsi="Arial" w:cs="Arial"/>
                <w:i/>
                <w:iCs/>
                <w:color w:val="000000"/>
              </w:rPr>
              <w:t>KLRG2</w:t>
            </w:r>
          </w:p>
          <w:p w:rsidR="00106EF7" w:rsidRPr="00464929" w:rsidRDefault="00106EF7" w:rsidP="00722427">
            <w:pPr>
              <w:contextualSpacing/>
              <w:rPr>
                <w:rFonts w:ascii="Arial" w:hAnsi="Arial" w:cs="Arial"/>
              </w:rPr>
            </w:pPr>
          </w:p>
        </w:tc>
        <w:tc>
          <w:tcPr>
            <w:tcW w:w="2382" w:type="dxa"/>
            <w:tcBorders>
              <w:top w:val="nil"/>
              <w:left w:val="nil"/>
              <w:bottom w:val="nil"/>
              <w:right w:val="nil"/>
            </w:tcBorders>
          </w:tcPr>
          <w:p w:rsidR="00106EF7" w:rsidRPr="00464929" w:rsidRDefault="00106EF7" w:rsidP="00722427">
            <w:pPr>
              <w:contextualSpacing/>
              <w:rPr>
                <w:rFonts w:ascii="Arial" w:hAnsi="Arial" w:cs="Arial"/>
              </w:rPr>
            </w:pPr>
          </w:p>
        </w:tc>
        <w:tc>
          <w:tcPr>
            <w:tcW w:w="1697" w:type="dxa"/>
            <w:tcBorders>
              <w:top w:val="nil"/>
              <w:left w:val="nil"/>
              <w:bottom w:val="nil"/>
              <w:right w:val="nil"/>
            </w:tcBorders>
          </w:tcPr>
          <w:p w:rsidR="00106EF7" w:rsidRPr="00464929" w:rsidRDefault="00106EF7" w:rsidP="00722427">
            <w:pPr>
              <w:contextualSpacing/>
              <w:rPr>
                <w:rFonts w:ascii="Arial" w:hAnsi="Arial" w:cs="Arial"/>
              </w:rPr>
            </w:pPr>
          </w:p>
        </w:tc>
        <w:tc>
          <w:tcPr>
            <w:tcW w:w="2225" w:type="dxa"/>
            <w:tcBorders>
              <w:top w:val="nil"/>
              <w:left w:val="nil"/>
              <w:bottom w:val="nil"/>
              <w:right w:val="nil"/>
            </w:tcBorders>
          </w:tcPr>
          <w:p w:rsidR="00106EF7" w:rsidRPr="00464929" w:rsidRDefault="00106EF7" w:rsidP="00722427">
            <w:pPr>
              <w:contextualSpacing/>
              <w:rPr>
                <w:rFonts w:ascii="Arial" w:hAnsi="Arial" w:cs="Arial"/>
              </w:rPr>
            </w:pPr>
          </w:p>
        </w:tc>
        <w:tc>
          <w:tcPr>
            <w:tcW w:w="2965" w:type="dxa"/>
            <w:tcBorders>
              <w:top w:val="nil"/>
              <w:left w:val="nil"/>
              <w:bottom w:val="nil"/>
              <w:right w:val="nil"/>
            </w:tcBorders>
          </w:tcPr>
          <w:p w:rsidR="00106EF7" w:rsidRPr="00464929" w:rsidRDefault="00106EF7" w:rsidP="00722427">
            <w:pPr>
              <w:contextualSpacing/>
              <w:rPr>
                <w:rFonts w:ascii="Arial" w:hAnsi="Arial" w:cs="Arial"/>
              </w:rPr>
            </w:pPr>
          </w:p>
          <w:p w:rsidR="00106EF7" w:rsidRPr="00464929" w:rsidRDefault="00106EF7" w:rsidP="00722427">
            <w:pPr>
              <w:contextualSpacing/>
              <w:rPr>
                <w:rFonts w:ascii="Arial" w:hAnsi="Arial" w:cs="Arial"/>
              </w:rPr>
            </w:pPr>
            <w:r w:rsidRPr="00464929">
              <w:rPr>
                <w:rFonts w:ascii="Arial" w:hAnsi="Arial" w:cs="Arial"/>
              </w:rPr>
              <w:t xml:space="preserve">Killer cell </w:t>
            </w:r>
            <w:proofErr w:type="spellStart"/>
            <w:r w:rsidRPr="00464929">
              <w:rPr>
                <w:rFonts w:ascii="Arial" w:hAnsi="Arial" w:cs="Arial"/>
              </w:rPr>
              <w:t>lectin</w:t>
            </w:r>
            <w:proofErr w:type="spellEnd"/>
            <w:r w:rsidRPr="00464929">
              <w:rPr>
                <w:rFonts w:ascii="Arial" w:hAnsi="Arial" w:cs="Arial"/>
              </w:rPr>
              <w:t>-like receptor subfamily g member 2;</w:t>
            </w:r>
          </w:p>
          <w:p w:rsidR="00106EF7" w:rsidRPr="00464929" w:rsidRDefault="00106EF7" w:rsidP="00722427">
            <w:pPr>
              <w:contextualSpacing/>
              <w:rPr>
                <w:rFonts w:ascii="Arial" w:hAnsi="Arial" w:cs="Arial"/>
              </w:rPr>
            </w:pPr>
          </w:p>
        </w:tc>
      </w:tr>
      <w:tr w:rsidR="00106EF7" w:rsidRPr="00464929" w:rsidTr="00722427">
        <w:trPr>
          <w:trHeight w:val="3605"/>
        </w:trPr>
        <w:tc>
          <w:tcPr>
            <w:tcW w:w="1101" w:type="dxa"/>
            <w:tcBorders>
              <w:top w:val="nil"/>
              <w:left w:val="nil"/>
              <w:bottom w:val="nil"/>
              <w:right w:val="nil"/>
            </w:tcBorders>
          </w:tcPr>
          <w:p w:rsidR="00106EF7" w:rsidRPr="00464929" w:rsidRDefault="00106EF7" w:rsidP="00722427">
            <w:pPr>
              <w:contextualSpacing/>
              <w:rPr>
                <w:rFonts w:ascii="Arial" w:hAnsi="Arial" w:cs="Arial"/>
                <w:i/>
                <w:iCs/>
                <w:color w:val="000000"/>
              </w:rPr>
            </w:pPr>
            <w:r w:rsidRPr="00464929">
              <w:rPr>
                <w:rFonts w:ascii="Arial" w:hAnsi="Arial" w:cs="Arial"/>
                <w:i/>
                <w:iCs/>
                <w:color w:val="000000"/>
              </w:rPr>
              <w:lastRenderedPageBreak/>
              <w:t>SCNN1A</w:t>
            </w:r>
          </w:p>
          <w:p w:rsidR="00106EF7" w:rsidRPr="00464929" w:rsidRDefault="00106EF7" w:rsidP="00722427">
            <w:pPr>
              <w:contextualSpacing/>
              <w:rPr>
                <w:rFonts w:ascii="Arial" w:hAnsi="Arial" w:cs="Arial"/>
              </w:rPr>
            </w:pPr>
          </w:p>
        </w:tc>
        <w:tc>
          <w:tcPr>
            <w:tcW w:w="2382" w:type="dxa"/>
            <w:tcBorders>
              <w:top w:val="nil"/>
              <w:left w:val="nil"/>
              <w:bottom w:val="nil"/>
              <w:right w:val="nil"/>
            </w:tcBorders>
          </w:tcPr>
          <w:p w:rsidR="00106EF7" w:rsidRPr="00464929" w:rsidRDefault="00106EF7" w:rsidP="00722427">
            <w:pPr>
              <w:contextualSpacing/>
              <w:rPr>
                <w:rFonts w:ascii="Arial" w:hAnsi="Arial" w:cs="Arial"/>
              </w:rPr>
            </w:pPr>
            <w:r w:rsidRPr="00464929">
              <w:rPr>
                <w:rFonts w:ascii="Arial" w:hAnsi="Arial" w:cs="Arial"/>
              </w:rPr>
              <w:t>GO</w:t>
            </w:r>
            <w:proofErr w:type="gramStart"/>
            <w:r w:rsidRPr="00464929">
              <w:rPr>
                <w:rFonts w:ascii="Arial" w:hAnsi="Arial" w:cs="Arial"/>
              </w:rPr>
              <w:t>:1903288</w:t>
            </w:r>
            <w:proofErr w:type="gramEnd"/>
          </w:p>
          <w:p w:rsidR="00106EF7" w:rsidRPr="00464929" w:rsidRDefault="00106EF7" w:rsidP="00722427">
            <w:pPr>
              <w:contextualSpacing/>
              <w:rPr>
                <w:rFonts w:ascii="Arial" w:hAnsi="Arial" w:cs="Arial"/>
              </w:rPr>
            </w:pPr>
            <w:r w:rsidRPr="00464929">
              <w:rPr>
                <w:rFonts w:ascii="Arial" w:hAnsi="Arial" w:cs="Arial"/>
              </w:rPr>
              <w:t>Positive regulation of potassium ion import across plasma membrane</w:t>
            </w:r>
          </w:p>
          <w:p w:rsidR="00106EF7" w:rsidRPr="00464929" w:rsidRDefault="00106EF7" w:rsidP="00722427">
            <w:pPr>
              <w:contextualSpacing/>
              <w:rPr>
                <w:rFonts w:ascii="Arial" w:hAnsi="Arial" w:cs="Arial"/>
              </w:rPr>
            </w:pPr>
            <w:r w:rsidRPr="00464929">
              <w:rPr>
                <w:rFonts w:ascii="Arial" w:hAnsi="Arial" w:cs="Arial"/>
              </w:rPr>
              <w:t>GO:0070294</w:t>
            </w:r>
          </w:p>
          <w:p w:rsidR="00106EF7" w:rsidRPr="00464929" w:rsidRDefault="00106EF7" w:rsidP="00722427">
            <w:pPr>
              <w:contextualSpacing/>
              <w:rPr>
                <w:rFonts w:ascii="Arial" w:hAnsi="Arial" w:cs="Arial"/>
              </w:rPr>
            </w:pPr>
            <w:r w:rsidRPr="00464929">
              <w:rPr>
                <w:rFonts w:ascii="Arial" w:hAnsi="Arial" w:cs="Arial"/>
              </w:rPr>
              <w:t>Renal sodium ion absorption</w:t>
            </w:r>
          </w:p>
          <w:p w:rsidR="00106EF7" w:rsidRPr="00464929" w:rsidRDefault="00106EF7" w:rsidP="00722427">
            <w:pPr>
              <w:contextualSpacing/>
              <w:rPr>
                <w:rFonts w:ascii="Arial" w:hAnsi="Arial" w:cs="Arial"/>
              </w:rPr>
            </w:pPr>
            <w:r w:rsidRPr="00464929">
              <w:rPr>
                <w:rFonts w:ascii="Arial" w:hAnsi="Arial" w:cs="Arial"/>
              </w:rPr>
              <w:t>GO:0015280</w:t>
            </w:r>
          </w:p>
          <w:p w:rsidR="00106EF7" w:rsidRPr="00464929" w:rsidRDefault="00106EF7" w:rsidP="00722427">
            <w:pPr>
              <w:contextualSpacing/>
              <w:rPr>
                <w:rFonts w:ascii="Arial" w:hAnsi="Arial" w:cs="Arial"/>
              </w:rPr>
            </w:pPr>
            <w:r w:rsidRPr="00464929">
              <w:rPr>
                <w:rFonts w:ascii="Arial" w:hAnsi="Arial" w:cs="Arial"/>
              </w:rPr>
              <w:t>Ligand-gated sodium channel activity</w:t>
            </w:r>
          </w:p>
          <w:p w:rsidR="00106EF7" w:rsidRPr="00464929" w:rsidRDefault="00106EF7" w:rsidP="00722427">
            <w:pPr>
              <w:contextualSpacing/>
              <w:rPr>
                <w:rFonts w:ascii="Arial" w:hAnsi="Arial" w:cs="Arial"/>
              </w:rPr>
            </w:pPr>
            <w:r w:rsidRPr="00464929">
              <w:rPr>
                <w:rFonts w:ascii="Arial" w:hAnsi="Arial" w:cs="Arial"/>
              </w:rPr>
              <w:t>GO:0017081</w:t>
            </w:r>
          </w:p>
          <w:p w:rsidR="00106EF7" w:rsidRPr="00464929" w:rsidRDefault="00106EF7" w:rsidP="00722427">
            <w:pPr>
              <w:contextualSpacing/>
              <w:rPr>
                <w:rFonts w:ascii="Arial" w:hAnsi="Arial" w:cs="Arial"/>
              </w:rPr>
            </w:pPr>
            <w:r w:rsidRPr="00464929">
              <w:rPr>
                <w:rFonts w:ascii="Arial" w:hAnsi="Arial" w:cs="Arial"/>
              </w:rPr>
              <w:t>Chloride channel regulator activity</w:t>
            </w:r>
          </w:p>
        </w:tc>
        <w:tc>
          <w:tcPr>
            <w:tcW w:w="1697" w:type="dxa"/>
            <w:tcBorders>
              <w:top w:val="nil"/>
              <w:left w:val="nil"/>
              <w:bottom w:val="nil"/>
              <w:right w:val="nil"/>
            </w:tcBorders>
          </w:tcPr>
          <w:p w:rsidR="00106EF7" w:rsidRPr="00464929" w:rsidRDefault="00106EF7" w:rsidP="00722427">
            <w:pPr>
              <w:contextualSpacing/>
              <w:rPr>
                <w:rFonts w:ascii="Arial" w:hAnsi="Arial" w:cs="Arial"/>
              </w:rPr>
            </w:pPr>
            <w:proofErr w:type="gramStart"/>
            <w:r w:rsidRPr="00464929">
              <w:rPr>
                <w:rFonts w:ascii="Arial" w:hAnsi="Arial" w:cs="Arial"/>
              </w:rPr>
              <w:t>hsa04960</w:t>
            </w:r>
            <w:proofErr w:type="gramEnd"/>
          </w:p>
          <w:p w:rsidR="00106EF7" w:rsidRPr="00464929" w:rsidRDefault="00106EF7" w:rsidP="00722427">
            <w:pPr>
              <w:contextualSpacing/>
              <w:rPr>
                <w:rFonts w:ascii="Arial" w:hAnsi="Arial" w:cs="Arial"/>
              </w:rPr>
            </w:pPr>
            <w:r w:rsidRPr="00464929">
              <w:rPr>
                <w:rFonts w:ascii="Arial" w:hAnsi="Arial" w:cs="Arial"/>
              </w:rPr>
              <w:t>Aldosterone-regulated sodium reabsorption</w:t>
            </w:r>
          </w:p>
          <w:p w:rsidR="00106EF7" w:rsidRPr="00464929" w:rsidRDefault="00106EF7" w:rsidP="00722427">
            <w:pPr>
              <w:contextualSpacing/>
              <w:rPr>
                <w:rFonts w:ascii="Arial" w:hAnsi="Arial" w:cs="Arial"/>
              </w:rPr>
            </w:pPr>
            <w:proofErr w:type="gramStart"/>
            <w:r w:rsidRPr="00464929">
              <w:rPr>
                <w:rFonts w:ascii="Arial" w:hAnsi="Arial" w:cs="Arial"/>
              </w:rPr>
              <w:t>hsa04742</w:t>
            </w:r>
            <w:proofErr w:type="gramEnd"/>
          </w:p>
          <w:p w:rsidR="00106EF7" w:rsidRPr="00464929" w:rsidRDefault="00106EF7" w:rsidP="00722427">
            <w:pPr>
              <w:contextualSpacing/>
              <w:rPr>
                <w:rFonts w:ascii="Arial" w:hAnsi="Arial" w:cs="Arial"/>
              </w:rPr>
            </w:pPr>
            <w:r w:rsidRPr="00464929">
              <w:rPr>
                <w:rFonts w:ascii="Arial" w:hAnsi="Arial" w:cs="Arial"/>
              </w:rPr>
              <w:t>Taste transduction</w:t>
            </w:r>
          </w:p>
        </w:tc>
        <w:tc>
          <w:tcPr>
            <w:tcW w:w="2225" w:type="dxa"/>
            <w:tcBorders>
              <w:top w:val="nil"/>
              <w:left w:val="nil"/>
              <w:bottom w:val="nil"/>
              <w:right w:val="nil"/>
            </w:tcBorders>
          </w:tcPr>
          <w:p w:rsidR="00106EF7" w:rsidRPr="00464929" w:rsidRDefault="00106EF7" w:rsidP="00722427">
            <w:pPr>
              <w:contextualSpacing/>
              <w:rPr>
                <w:rFonts w:ascii="Arial" w:hAnsi="Arial" w:cs="Arial"/>
              </w:rPr>
            </w:pPr>
            <w:r w:rsidRPr="00464929">
              <w:rPr>
                <w:rFonts w:ascii="Arial" w:hAnsi="Arial" w:cs="Arial"/>
              </w:rPr>
              <w:t>DOID:0050477</w:t>
            </w:r>
          </w:p>
          <w:p w:rsidR="00106EF7" w:rsidRPr="00464929" w:rsidRDefault="00106EF7" w:rsidP="00722427">
            <w:pPr>
              <w:contextualSpacing/>
              <w:rPr>
                <w:rFonts w:ascii="Arial" w:hAnsi="Arial" w:cs="Arial"/>
              </w:rPr>
            </w:pPr>
            <w:proofErr w:type="spellStart"/>
            <w:r w:rsidRPr="00464929">
              <w:rPr>
                <w:rFonts w:ascii="Arial" w:hAnsi="Arial" w:cs="Arial"/>
              </w:rPr>
              <w:t>Liddle</w:t>
            </w:r>
            <w:proofErr w:type="spellEnd"/>
            <w:r w:rsidRPr="00464929">
              <w:rPr>
                <w:rFonts w:ascii="Arial" w:hAnsi="Arial" w:cs="Arial"/>
              </w:rPr>
              <w:t xml:space="preserve"> syndrome</w:t>
            </w:r>
          </w:p>
          <w:p w:rsidR="00106EF7" w:rsidRPr="00464929" w:rsidRDefault="00106EF7" w:rsidP="00722427">
            <w:pPr>
              <w:contextualSpacing/>
              <w:rPr>
                <w:rFonts w:ascii="Arial" w:hAnsi="Arial" w:cs="Arial"/>
              </w:rPr>
            </w:pPr>
            <w:r w:rsidRPr="00464929">
              <w:rPr>
                <w:rFonts w:ascii="Arial" w:hAnsi="Arial" w:cs="Arial"/>
              </w:rPr>
              <w:t>DOID:0111607</w:t>
            </w:r>
          </w:p>
          <w:p w:rsidR="00106EF7" w:rsidRPr="00464929" w:rsidRDefault="00106EF7" w:rsidP="00722427">
            <w:pPr>
              <w:contextualSpacing/>
              <w:rPr>
                <w:rFonts w:ascii="Arial" w:hAnsi="Arial" w:cs="Arial"/>
              </w:rPr>
            </w:pPr>
            <w:r w:rsidRPr="00464929">
              <w:rPr>
                <w:rFonts w:ascii="Arial" w:hAnsi="Arial" w:cs="Arial"/>
              </w:rPr>
              <w:t xml:space="preserve">Distal </w:t>
            </w:r>
            <w:proofErr w:type="spellStart"/>
            <w:r w:rsidRPr="00464929">
              <w:rPr>
                <w:rFonts w:ascii="Arial" w:hAnsi="Arial" w:cs="Arial"/>
              </w:rPr>
              <w:t>arthrogryposis</w:t>
            </w:r>
            <w:proofErr w:type="spellEnd"/>
            <w:r w:rsidRPr="00464929">
              <w:rPr>
                <w:rFonts w:ascii="Arial" w:hAnsi="Arial" w:cs="Arial"/>
              </w:rPr>
              <w:t xml:space="preserve"> type 3</w:t>
            </w:r>
          </w:p>
          <w:p w:rsidR="00106EF7" w:rsidRPr="00464929" w:rsidRDefault="00106EF7" w:rsidP="00722427">
            <w:pPr>
              <w:contextualSpacing/>
              <w:rPr>
                <w:rFonts w:ascii="Arial" w:hAnsi="Arial" w:cs="Arial"/>
              </w:rPr>
            </w:pPr>
            <w:r w:rsidRPr="00464929">
              <w:rPr>
                <w:rFonts w:ascii="Arial" w:hAnsi="Arial" w:cs="Arial"/>
              </w:rPr>
              <w:t>DOID:0060855</w:t>
            </w:r>
          </w:p>
          <w:p w:rsidR="00106EF7" w:rsidRPr="00464929" w:rsidRDefault="00106EF7" w:rsidP="00722427">
            <w:pPr>
              <w:contextualSpacing/>
              <w:rPr>
                <w:rFonts w:ascii="Arial" w:hAnsi="Arial" w:cs="Arial"/>
              </w:rPr>
            </w:pPr>
            <w:r w:rsidRPr="00464929">
              <w:rPr>
                <w:rFonts w:ascii="Arial" w:hAnsi="Arial" w:cs="Arial"/>
              </w:rPr>
              <w:t xml:space="preserve">Autosomal dominant </w:t>
            </w:r>
            <w:proofErr w:type="spellStart"/>
            <w:r w:rsidRPr="00464929">
              <w:rPr>
                <w:rFonts w:ascii="Arial" w:hAnsi="Arial" w:cs="Arial"/>
              </w:rPr>
              <w:t>pseudohypoaldosteronism</w:t>
            </w:r>
            <w:proofErr w:type="spellEnd"/>
            <w:r w:rsidRPr="00464929">
              <w:rPr>
                <w:rFonts w:ascii="Arial" w:hAnsi="Arial" w:cs="Arial"/>
              </w:rPr>
              <w:t xml:space="preserve"> type 1</w:t>
            </w:r>
          </w:p>
        </w:tc>
        <w:tc>
          <w:tcPr>
            <w:tcW w:w="2965" w:type="dxa"/>
            <w:tcBorders>
              <w:top w:val="nil"/>
              <w:left w:val="nil"/>
              <w:bottom w:val="nil"/>
              <w:right w:val="nil"/>
            </w:tcBorders>
          </w:tcPr>
          <w:p w:rsidR="00106EF7" w:rsidRPr="00464929" w:rsidRDefault="00106EF7" w:rsidP="00722427">
            <w:pPr>
              <w:contextualSpacing/>
              <w:rPr>
                <w:rFonts w:ascii="Arial" w:hAnsi="Arial" w:cs="Arial"/>
              </w:rPr>
            </w:pPr>
            <w:proofErr w:type="spellStart"/>
            <w:r w:rsidRPr="00464929">
              <w:rPr>
                <w:rFonts w:ascii="Arial" w:hAnsi="Arial" w:cs="Arial"/>
              </w:rPr>
              <w:t>Amiloride</w:t>
            </w:r>
            <w:proofErr w:type="spellEnd"/>
            <w:r w:rsidRPr="00464929">
              <w:rPr>
                <w:rFonts w:ascii="Arial" w:hAnsi="Arial" w:cs="Arial"/>
              </w:rPr>
              <w:t xml:space="preserve">-sensitive sodium channel subunit alpha; Plays an essential role in electrolyte and blood pressure homeostasis, but also in airway surface liquid homeostasis, which is important for proper clearance of mucus. Controls the reabsorption of sodium in kidney, colon, lung and </w:t>
            </w:r>
            <w:proofErr w:type="spellStart"/>
            <w:r w:rsidRPr="00464929">
              <w:rPr>
                <w:rFonts w:ascii="Arial" w:hAnsi="Arial" w:cs="Arial"/>
              </w:rPr>
              <w:t>eccrine</w:t>
            </w:r>
            <w:proofErr w:type="spellEnd"/>
            <w:r w:rsidRPr="00464929">
              <w:rPr>
                <w:rFonts w:ascii="Arial" w:hAnsi="Arial" w:cs="Arial"/>
              </w:rPr>
              <w:t xml:space="preserve"> sweat glands. Also plays a role in taste perception</w:t>
            </w:r>
          </w:p>
        </w:tc>
      </w:tr>
      <w:tr w:rsidR="00106EF7" w:rsidRPr="00464929" w:rsidTr="00722427">
        <w:trPr>
          <w:trHeight w:val="1393"/>
        </w:trPr>
        <w:tc>
          <w:tcPr>
            <w:tcW w:w="1101" w:type="dxa"/>
            <w:tcBorders>
              <w:top w:val="nil"/>
              <w:left w:val="nil"/>
              <w:bottom w:val="nil"/>
              <w:right w:val="nil"/>
            </w:tcBorders>
          </w:tcPr>
          <w:p w:rsidR="00106EF7" w:rsidRPr="00464929" w:rsidRDefault="00106EF7" w:rsidP="00722427">
            <w:pPr>
              <w:contextualSpacing/>
              <w:rPr>
                <w:rFonts w:ascii="Arial" w:hAnsi="Arial" w:cs="Arial"/>
                <w:i/>
                <w:iCs/>
                <w:color w:val="000000"/>
              </w:rPr>
            </w:pPr>
            <w:r w:rsidRPr="00464929">
              <w:rPr>
                <w:rFonts w:ascii="Arial" w:hAnsi="Arial" w:cs="Arial"/>
                <w:i/>
                <w:iCs/>
                <w:color w:val="000000"/>
              </w:rPr>
              <w:t>ARHGAP31</w:t>
            </w:r>
          </w:p>
          <w:p w:rsidR="00106EF7" w:rsidRPr="00464929" w:rsidRDefault="00106EF7" w:rsidP="00722427">
            <w:pPr>
              <w:contextualSpacing/>
              <w:rPr>
                <w:rFonts w:ascii="Arial" w:hAnsi="Arial" w:cs="Arial"/>
              </w:rPr>
            </w:pPr>
          </w:p>
        </w:tc>
        <w:tc>
          <w:tcPr>
            <w:tcW w:w="2382" w:type="dxa"/>
            <w:tcBorders>
              <w:top w:val="nil"/>
              <w:left w:val="nil"/>
              <w:bottom w:val="nil"/>
              <w:right w:val="nil"/>
            </w:tcBorders>
          </w:tcPr>
          <w:p w:rsidR="00106EF7" w:rsidRPr="00464929" w:rsidRDefault="00106EF7" w:rsidP="00722427">
            <w:pPr>
              <w:contextualSpacing/>
              <w:rPr>
                <w:rFonts w:ascii="Arial" w:hAnsi="Arial" w:cs="Arial"/>
              </w:rPr>
            </w:pPr>
            <w:r w:rsidRPr="00464929">
              <w:rPr>
                <w:rFonts w:ascii="Arial" w:hAnsi="Arial" w:cs="Arial"/>
              </w:rPr>
              <w:t>GO:0030027</w:t>
            </w:r>
          </w:p>
          <w:p w:rsidR="00106EF7" w:rsidRPr="00464929" w:rsidRDefault="00106EF7" w:rsidP="00722427">
            <w:pPr>
              <w:contextualSpacing/>
              <w:rPr>
                <w:rFonts w:ascii="Arial" w:hAnsi="Arial" w:cs="Arial"/>
              </w:rPr>
            </w:pPr>
            <w:proofErr w:type="spellStart"/>
            <w:r w:rsidRPr="00464929">
              <w:rPr>
                <w:rFonts w:ascii="Arial" w:hAnsi="Arial" w:cs="Arial"/>
              </w:rPr>
              <w:t>Lamellipodium</w:t>
            </w:r>
            <w:proofErr w:type="spellEnd"/>
          </w:p>
          <w:p w:rsidR="00106EF7" w:rsidRPr="00464929" w:rsidRDefault="00106EF7" w:rsidP="00722427">
            <w:pPr>
              <w:contextualSpacing/>
              <w:rPr>
                <w:rFonts w:ascii="Arial" w:hAnsi="Arial" w:cs="Arial"/>
              </w:rPr>
            </w:pPr>
            <w:r w:rsidRPr="00464929">
              <w:rPr>
                <w:rFonts w:ascii="Arial" w:hAnsi="Arial" w:cs="Arial"/>
              </w:rPr>
              <w:t>GO:0031252</w:t>
            </w:r>
          </w:p>
          <w:p w:rsidR="00106EF7" w:rsidRPr="00464929" w:rsidRDefault="00106EF7" w:rsidP="00722427">
            <w:pPr>
              <w:contextualSpacing/>
              <w:rPr>
                <w:rFonts w:ascii="Arial" w:hAnsi="Arial" w:cs="Arial"/>
              </w:rPr>
            </w:pPr>
            <w:r w:rsidRPr="00464929">
              <w:rPr>
                <w:rFonts w:ascii="Arial" w:hAnsi="Arial" w:cs="Arial"/>
              </w:rPr>
              <w:t>Cell leading edge</w:t>
            </w:r>
          </w:p>
          <w:p w:rsidR="00106EF7" w:rsidRPr="00464929" w:rsidRDefault="00106EF7" w:rsidP="00722427">
            <w:pPr>
              <w:contextualSpacing/>
              <w:rPr>
                <w:rFonts w:ascii="Arial" w:hAnsi="Arial" w:cs="Arial"/>
              </w:rPr>
            </w:pPr>
          </w:p>
        </w:tc>
        <w:tc>
          <w:tcPr>
            <w:tcW w:w="1697" w:type="dxa"/>
            <w:tcBorders>
              <w:top w:val="nil"/>
              <w:left w:val="nil"/>
              <w:bottom w:val="nil"/>
              <w:right w:val="nil"/>
            </w:tcBorders>
          </w:tcPr>
          <w:p w:rsidR="00106EF7" w:rsidRPr="00464929" w:rsidRDefault="00106EF7" w:rsidP="00722427">
            <w:pPr>
              <w:contextualSpacing/>
              <w:rPr>
                <w:rFonts w:ascii="Arial" w:hAnsi="Arial" w:cs="Arial"/>
              </w:rPr>
            </w:pPr>
          </w:p>
        </w:tc>
        <w:tc>
          <w:tcPr>
            <w:tcW w:w="2225" w:type="dxa"/>
            <w:tcBorders>
              <w:top w:val="nil"/>
              <w:left w:val="nil"/>
              <w:bottom w:val="nil"/>
              <w:right w:val="nil"/>
            </w:tcBorders>
          </w:tcPr>
          <w:p w:rsidR="00106EF7" w:rsidRPr="00464929" w:rsidRDefault="00106EF7" w:rsidP="00722427">
            <w:pPr>
              <w:contextualSpacing/>
              <w:rPr>
                <w:rFonts w:ascii="Arial" w:hAnsi="Arial" w:cs="Arial"/>
              </w:rPr>
            </w:pPr>
            <w:r w:rsidRPr="00464929">
              <w:rPr>
                <w:rFonts w:ascii="Arial" w:hAnsi="Arial" w:cs="Arial"/>
              </w:rPr>
              <w:t>DOID:0060227</w:t>
            </w:r>
          </w:p>
          <w:p w:rsidR="00106EF7" w:rsidRPr="00464929" w:rsidRDefault="00106EF7" w:rsidP="00722427">
            <w:pPr>
              <w:contextualSpacing/>
              <w:rPr>
                <w:rFonts w:ascii="Arial" w:hAnsi="Arial" w:cs="Arial"/>
              </w:rPr>
            </w:pPr>
            <w:r w:rsidRPr="00464929">
              <w:rPr>
                <w:rFonts w:ascii="Arial" w:hAnsi="Arial" w:cs="Arial"/>
              </w:rPr>
              <w:t>Adams-Oliver syndrome</w:t>
            </w:r>
          </w:p>
        </w:tc>
        <w:tc>
          <w:tcPr>
            <w:tcW w:w="2965" w:type="dxa"/>
            <w:tcBorders>
              <w:top w:val="nil"/>
              <w:left w:val="nil"/>
              <w:bottom w:val="nil"/>
              <w:right w:val="nil"/>
            </w:tcBorders>
          </w:tcPr>
          <w:p w:rsidR="00106EF7" w:rsidRPr="00464929" w:rsidRDefault="00106EF7" w:rsidP="00722427">
            <w:pPr>
              <w:contextualSpacing/>
              <w:rPr>
                <w:rFonts w:ascii="Arial" w:hAnsi="Arial" w:cs="Arial"/>
              </w:rPr>
            </w:pPr>
            <w:r w:rsidRPr="00464929">
              <w:rPr>
                <w:rFonts w:ascii="Arial" w:hAnsi="Arial" w:cs="Arial"/>
              </w:rPr>
              <w:t xml:space="preserve">Rho </w:t>
            </w:r>
            <w:proofErr w:type="spellStart"/>
            <w:r w:rsidRPr="00464929">
              <w:rPr>
                <w:rFonts w:ascii="Arial" w:hAnsi="Arial" w:cs="Arial"/>
              </w:rPr>
              <w:t>GTPase</w:t>
            </w:r>
            <w:proofErr w:type="spellEnd"/>
            <w:r w:rsidRPr="00464929">
              <w:rPr>
                <w:rFonts w:ascii="Arial" w:hAnsi="Arial" w:cs="Arial"/>
              </w:rPr>
              <w:t xml:space="preserve">-activating protein, Required for cell spreading, polarized </w:t>
            </w:r>
            <w:proofErr w:type="spellStart"/>
            <w:r w:rsidRPr="00464929">
              <w:rPr>
                <w:rFonts w:ascii="Arial" w:hAnsi="Arial" w:cs="Arial"/>
              </w:rPr>
              <w:t>lamellipodia</w:t>
            </w:r>
            <w:proofErr w:type="spellEnd"/>
            <w:r w:rsidRPr="00464929">
              <w:rPr>
                <w:rFonts w:ascii="Arial" w:hAnsi="Arial" w:cs="Arial"/>
              </w:rPr>
              <w:t xml:space="preserve"> formation and cell migration</w:t>
            </w:r>
          </w:p>
        </w:tc>
      </w:tr>
      <w:tr w:rsidR="00106EF7" w:rsidRPr="00464929" w:rsidTr="00722427">
        <w:trPr>
          <w:trHeight w:val="553"/>
        </w:trPr>
        <w:tc>
          <w:tcPr>
            <w:tcW w:w="1101" w:type="dxa"/>
            <w:tcBorders>
              <w:top w:val="nil"/>
              <w:left w:val="nil"/>
              <w:bottom w:val="nil"/>
              <w:right w:val="nil"/>
            </w:tcBorders>
          </w:tcPr>
          <w:p w:rsidR="00106EF7" w:rsidRPr="00464929" w:rsidRDefault="00106EF7" w:rsidP="00722427">
            <w:pPr>
              <w:contextualSpacing/>
              <w:rPr>
                <w:rFonts w:ascii="Arial" w:hAnsi="Arial" w:cs="Arial"/>
                <w:i/>
                <w:iCs/>
                <w:color w:val="000000"/>
              </w:rPr>
            </w:pPr>
            <w:r w:rsidRPr="00464929">
              <w:rPr>
                <w:rFonts w:ascii="Arial" w:hAnsi="Arial" w:cs="Arial"/>
                <w:i/>
                <w:iCs/>
                <w:color w:val="000000"/>
              </w:rPr>
              <w:t>ARHGAP5</w:t>
            </w:r>
          </w:p>
          <w:p w:rsidR="00106EF7" w:rsidRPr="00464929" w:rsidRDefault="00106EF7" w:rsidP="00722427">
            <w:pPr>
              <w:contextualSpacing/>
              <w:rPr>
                <w:rFonts w:ascii="Arial" w:hAnsi="Arial" w:cs="Arial"/>
              </w:rPr>
            </w:pPr>
          </w:p>
        </w:tc>
        <w:tc>
          <w:tcPr>
            <w:tcW w:w="2382" w:type="dxa"/>
            <w:tcBorders>
              <w:top w:val="nil"/>
              <w:left w:val="nil"/>
              <w:bottom w:val="nil"/>
              <w:right w:val="nil"/>
            </w:tcBorders>
          </w:tcPr>
          <w:p w:rsidR="00106EF7" w:rsidRPr="00464929" w:rsidRDefault="00106EF7" w:rsidP="00722427">
            <w:pPr>
              <w:contextualSpacing/>
              <w:rPr>
                <w:rFonts w:ascii="Arial" w:hAnsi="Arial" w:cs="Arial"/>
              </w:rPr>
            </w:pPr>
            <w:r w:rsidRPr="00464929">
              <w:rPr>
                <w:rFonts w:ascii="Arial" w:hAnsi="Arial" w:cs="Arial"/>
              </w:rPr>
              <w:t>GO:0071803</w:t>
            </w:r>
          </w:p>
          <w:p w:rsidR="00106EF7" w:rsidRPr="00464929" w:rsidRDefault="00106EF7" w:rsidP="00722427">
            <w:pPr>
              <w:contextualSpacing/>
              <w:rPr>
                <w:rFonts w:ascii="Arial" w:hAnsi="Arial" w:cs="Arial"/>
              </w:rPr>
            </w:pPr>
            <w:r w:rsidRPr="00464929">
              <w:rPr>
                <w:rFonts w:ascii="Arial" w:hAnsi="Arial" w:cs="Arial"/>
              </w:rPr>
              <w:t xml:space="preserve">Positive regulation of </w:t>
            </w:r>
            <w:proofErr w:type="spellStart"/>
            <w:r w:rsidRPr="00464929">
              <w:rPr>
                <w:rFonts w:ascii="Arial" w:hAnsi="Arial" w:cs="Arial"/>
              </w:rPr>
              <w:t>podosome</w:t>
            </w:r>
            <w:proofErr w:type="spellEnd"/>
            <w:r w:rsidRPr="00464929">
              <w:rPr>
                <w:rFonts w:ascii="Arial" w:hAnsi="Arial" w:cs="Arial"/>
              </w:rPr>
              <w:t xml:space="preserve"> assembly</w:t>
            </w:r>
          </w:p>
          <w:p w:rsidR="00106EF7" w:rsidRPr="00464929" w:rsidRDefault="00106EF7" w:rsidP="00722427">
            <w:pPr>
              <w:contextualSpacing/>
              <w:rPr>
                <w:rFonts w:ascii="Arial" w:hAnsi="Arial" w:cs="Arial"/>
              </w:rPr>
            </w:pPr>
            <w:r w:rsidRPr="00464929">
              <w:rPr>
                <w:rFonts w:ascii="Arial" w:hAnsi="Arial" w:cs="Arial"/>
              </w:rPr>
              <w:t>GO:0051894</w:t>
            </w:r>
          </w:p>
          <w:p w:rsidR="00106EF7" w:rsidRPr="00464929" w:rsidRDefault="00106EF7" w:rsidP="00722427">
            <w:pPr>
              <w:contextualSpacing/>
              <w:rPr>
                <w:rFonts w:ascii="Arial" w:hAnsi="Arial" w:cs="Arial"/>
              </w:rPr>
            </w:pPr>
            <w:r w:rsidRPr="00464929">
              <w:rPr>
                <w:rFonts w:ascii="Arial" w:hAnsi="Arial" w:cs="Arial"/>
              </w:rPr>
              <w:t>Positive regulation of focal adhesion assembly</w:t>
            </w:r>
          </w:p>
          <w:p w:rsidR="00106EF7" w:rsidRPr="00464929" w:rsidRDefault="00106EF7" w:rsidP="00722427">
            <w:pPr>
              <w:contextualSpacing/>
              <w:rPr>
                <w:rFonts w:ascii="Arial" w:hAnsi="Arial" w:cs="Arial"/>
              </w:rPr>
            </w:pPr>
            <w:r w:rsidRPr="00464929">
              <w:rPr>
                <w:rFonts w:ascii="Arial" w:hAnsi="Arial" w:cs="Arial"/>
              </w:rPr>
              <w:t>GO:0043149</w:t>
            </w:r>
          </w:p>
          <w:p w:rsidR="00106EF7" w:rsidRPr="00464929" w:rsidRDefault="00106EF7" w:rsidP="00722427">
            <w:pPr>
              <w:contextualSpacing/>
              <w:rPr>
                <w:rFonts w:ascii="Arial" w:hAnsi="Arial" w:cs="Arial"/>
              </w:rPr>
            </w:pPr>
            <w:r w:rsidRPr="00464929">
              <w:rPr>
                <w:rFonts w:ascii="Arial" w:hAnsi="Arial" w:cs="Arial"/>
              </w:rPr>
              <w:t>Stress fiber assembly</w:t>
            </w:r>
          </w:p>
          <w:p w:rsidR="00106EF7" w:rsidRPr="00464929" w:rsidRDefault="00106EF7" w:rsidP="00722427">
            <w:pPr>
              <w:contextualSpacing/>
              <w:rPr>
                <w:rFonts w:ascii="Arial" w:hAnsi="Arial" w:cs="Arial"/>
              </w:rPr>
            </w:pPr>
            <w:r w:rsidRPr="00464929">
              <w:rPr>
                <w:rFonts w:ascii="Arial" w:hAnsi="Arial" w:cs="Arial"/>
              </w:rPr>
              <w:t>GO:0045453</w:t>
            </w:r>
          </w:p>
          <w:p w:rsidR="00106EF7" w:rsidRPr="00464929" w:rsidRDefault="00106EF7" w:rsidP="00722427">
            <w:pPr>
              <w:contextualSpacing/>
              <w:rPr>
                <w:rFonts w:ascii="Arial" w:hAnsi="Arial" w:cs="Arial"/>
              </w:rPr>
            </w:pPr>
            <w:r w:rsidRPr="00464929">
              <w:rPr>
                <w:rFonts w:ascii="Arial" w:hAnsi="Arial" w:cs="Arial"/>
              </w:rPr>
              <w:t xml:space="preserve">Bone </w:t>
            </w:r>
            <w:proofErr w:type="spellStart"/>
            <w:r w:rsidRPr="00464929">
              <w:rPr>
                <w:rFonts w:ascii="Arial" w:hAnsi="Arial" w:cs="Arial"/>
              </w:rPr>
              <w:t>resorption</w:t>
            </w:r>
            <w:proofErr w:type="spellEnd"/>
          </w:p>
          <w:p w:rsidR="00106EF7" w:rsidRPr="00464929" w:rsidRDefault="00106EF7" w:rsidP="00722427">
            <w:pPr>
              <w:contextualSpacing/>
              <w:rPr>
                <w:rFonts w:ascii="Arial" w:hAnsi="Arial" w:cs="Arial"/>
              </w:rPr>
            </w:pPr>
          </w:p>
        </w:tc>
        <w:tc>
          <w:tcPr>
            <w:tcW w:w="1697" w:type="dxa"/>
            <w:tcBorders>
              <w:top w:val="nil"/>
              <w:left w:val="nil"/>
              <w:bottom w:val="nil"/>
              <w:right w:val="nil"/>
            </w:tcBorders>
          </w:tcPr>
          <w:p w:rsidR="00106EF7" w:rsidRPr="00464929" w:rsidRDefault="00106EF7" w:rsidP="00722427">
            <w:pPr>
              <w:contextualSpacing/>
              <w:rPr>
                <w:rFonts w:ascii="Arial" w:hAnsi="Arial" w:cs="Arial"/>
              </w:rPr>
            </w:pPr>
            <w:proofErr w:type="gramStart"/>
            <w:r w:rsidRPr="00464929">
              <w:rPr>
                <w:rFonts w:ascii="Arial" w:hAnsi="Arial" w:cs="Arial"/>
              </w:rPr>
              <w:t>hsa05219</w:t>
            </w:r>
            <w:proofErr w:type="gramEnd"/>
          </w:p>
          <w:p w:rsidR="00106EF7" w:rsidRPr="00464929" w:rsidRDefault="00106EF7" w:rsidP="00722427">
            <w:pPr>
              <w:contextualSpacing/>
              <w:rPr>
                <w:rFonts w:ascii="Arial" w:hAnsi="Arial" w:cs="Arial"/>
              </w:rPr>
            </w:pPr>
            <w:r w:rsidRPr="00464929">
              <w:rPr>
                <w:rFonts w:ascii="Arial" w:hAnsi="Arial" w:cs="Arial"/>
              </w:rPr>
              <w:t>Bladder cancer</w:t>
            </w:r>
          </w:p>
          <w:p w:rsidR="00106EF7" w:rsidRPr="00464929" w:rsidRDefault="00106EF7" w:rsidP="00722427">
            <w:pPr>
              <w:contextualSpacing/>
              <w:rPr>
                <w:rFonts w:ascii="Arial" w:hAnsi="Arial" w:cs="Arial"/>
              </w:rPr>
            </w:pPr>
            <w:proofErr w:type="gramStart"/>
            <w:r w:rsidRPr="00464929">
              <w:rPr>
                <w:rFonts w:ascii="Arial" w:hAnsi="Arial" w:cs="Arial"/>
              </w:rPr>
              <w:t>hsa04670</w:t>
            </w:r>
            <w:proofErr w:type="gramEnd"/>
          </w:p>
          <w:p w:rsidR="00106EF7" w:rsidRPr="00464929" w:rsidRDefault="00106EF7" w:rsidP="00722427">
            <w:pPr>
              <w:contextualSpacing/>
              <w:rPr>
                <w:rFonts w:ascii="Arial" w:hAnsi="Arial" w:cs="Arial"/>
              </w:rPr>
            </w:pPr>
            <w:r w:rsidRPr="00464929">
              <w:rPr>
                <w:rFonts w:ascii="Arial" w:hAnsi="Arial" w:cs="Arial"/>
              </w:rPr>
              <w:t xml:space="preserve">Leukocyte </w:t>
            </w:r>
            <w:proofErr w:type="spellStart"/>
            <w:r w:rsidRPr="00464929">
              <w:rPr>
                <w:rFonts w:ascii="Arial" w:hAnsi="Arial" w:cs="Arial"/>
              </w:rPr>
              <w:t>transendothelial</w:t>
            </w:r>
            <w:proofErr w:type="spellEnd"/>
            <w:r w:rsidRPr="00464929">
              <w:rPr>
                <w:rFonts w:ascii="Arial" w:hAnsi="Arial" w:cs="Arial"/>
              </w:rPr>
              <w:t xml:space="preserve"> migration</w:t>
            </w:r>
          </w:p>
          <w:p w:rsidR="00106EF7" w:rsidRPr="00464929" w:rsidRDefault="00106EF7" w:rsidP="00722427">
            <w:pPr>
              <w:contextualSpacing/>
              <w:rPr>
                <w:rFonts w:ascii="Arial" w:hAnsi="Arial" w:cs="Arial"/>
              </w:rPr>
            </w:pPr>
            <w:proofErr w:type="gramStart"/>
            <w:r w:rsidRPr="00464929">
              <w:rPr>
                <w:rFonts w:ascii="Arial" w:hAnsi="Arial" w:cs="Arial"/>
              </w:rPr>
              <w:t>hsa04370</w:t>
            </w:r>
            <w:proofErr w:type="gramEnd"/>
          </w:p>
          <w:p w:rsidR="00106EF7" w:rsidRPr="00464929" w:rsidRDefault="00106EF7" w:rsidP="00722427">
            <w:pPr>
              <w:contextualSpacing/>
              <w:rPr>
                <w:rFonts w:ascii="Arial" w:hAnsi="Arial" w:cs="Arial"/>
              </w:rPr>
            </w:pPr>
            <w:r w:rsidRPr="00464929">
              <w:rPr>
                <w:rFonts w:ascii="Arial" w:hAnsi="Arial" w:cs="Arial"/>
              </w:rPr>
              <w:t>VEGF signaling pathway</w:t>
            </w:r>
          </w:p>
          <w:p w:rsidR="00106EF7" w:rsidRPr="00464929" w:rsidRDefault="00106EF7" w:rsidP="00722427">
            <w:pPr>
              <w:contextualSpacing/>
              <w:rPr>
                <w:rFonts w:ascii="Arial" w:hAnsi="Arial" w:cs="Arial"/>
              </w:rPr>
            </w:pPr>
            <w:proofErr w:type="gramStart"/>
            <w:r w:rsidRPr="00464929">
              <w:rPr>
                <w:rFonts w:ascii="Arial" w:hAnsi="Arial" w:cs="Arial"/>
              </w:rPr>
              <w:t>hsa04611</w:t>
            </w:r>
            <w:proofErr w:type="gramEnd"/>
          </w:p>
          <w:p w:rsidR="00106EF7" w:rsidRPr="00464929" w:rsidRDefault="00106EF7" w:rsidP="00722427">
            <w:pPr>
              <w:contextualSpacing/>
              <w:rPr>
                <w:rFonts w:ascii="Arial" w:hAnsi="Arial" w:cs="Arial"/>
              </w:rPr>
            </w:pPr>
            <w:r w:rsidRPr="00464929">
              <w:rPr>
                <w:rFonts w:ascii="Arial" w:hAnsi="Arial" w:cs="Arial"/>
              </w:rPr>
              <w:t>Platelet activation</w:t>
            </w:r>
          </w:p>
        </w:tc>
        <w:tc>
          <w:tcPr>
            <w:tcW w:w="2225" w:type="dxa"/>
            <w:tcBorders>
              <w:top w:val="nil"/>
              <w:left w:val="nil"/>
              <w:bottom w:val="nil"/>
              <w:right w:val="nil"/>
            </w:tcBorders>
          </w:tcPr>
          <w:p w:rsidR="00106EF7" w:rsidRPr="00464929" w:rsidRDefault="00106EF7" w:rsidP="00722427">
            <w:pPr>
              <w:contextualSpacing/>
              <w:rPr>
                <w:rFonts w:ascii="Arial" w:hAnsi="Arial" w:cs="Arial"/>
              </w:rPr>
            </w:pPr>
            <w:r w:rsidRPr="00464929">
              <w:rPr>
                <w:rFonts w:ascii="Arial" w:hAnsi="Arial" w:cs="Arial"/>
              </w:rPr>
              <w:t>DOID</w:t>
            </w:r>
            <w:proofErr w:type="gramStart"/>
            <w:r w:rsidRPr="00464929">
              <w:rPr>
                <w:rFonts w:ascii="Arial" w:hAnsi="Arial" w:cs="Arial"/>
              </w:rPr>
              <w:t>:162</w:t>
            </w:r>
            <w:proofErr w:type="gramEnd"/>
          </w:p>
          <w:p w:rsidR="00106EF7" w:rsidRPr="00464929" w:rsidRDefault="00106EF7" w:rsidP="00722427">
            <w:pPr>
              <w:contextualSpacing/>
              <w:rPr>
                <w:rFonts w:ascii="Arial" w:hAnsi="Arial" w:cs="Arial"/>
              </w:rPr>
            </w:pPr>
            <w:r w:rsidRPr="00464929">
              <w:rPr>
                <w:rFonts w:ascii="Arial" w:hAnsi="Arial" w:cs="Arial"/>
              </w:rPr>
              <w:t>Cancer</w:t>
            </w:r>
          </w:p>
        </w:tc>
        <w:tc>
          <w:tcPr>
            <w:tcW w:w="2965" w:type="dxa"/>
            <w:tcBorders>
              <w:top w:val="nil"/>
              <w:left w:val="nil"/>
              <w:bottom w:val="nil"/>
              <w:right w:val="nil"/>
            </w:tcBorders>
          </w:tcPr>
          <w:p w:rsidR="00106EF7" w:rsidRPr="00464929" w:rsidRDefault="00106EF7" w:rsidP="00722427">
            <w:pPr>
              <w:contextualSpacing/>
              <w:rPr>
                <w:rFonts w:ascii="Arial" w:hAnsi="Arial" w:cs="Arial"/>
              </w:rPr>
            </w:pPr>
            <w:r w:rsidRPr="00464929">
              <w:rPr>
                <w:rFonts w:ascii="Arial" w:hAnsi="Arial" w:cs="Arial"/>
              </w:rPr>
              <w:t xml:space="preserve">Rho </w:t>
            </w:r>
            <w:proofErr w:type="spellStart"/>
            <w:r w:rsidRPr="00464929">
              <w:rPr>
                <w:rFonts w:ascii="Arial" w:hAnsi="Arial" w:cs="Arial"/>
              </w:rPr>
              <w:t>GTPase</w:t>
            </w:r>
            <w:proofErr w:type="spellEnd"/>
            <w:r w:rsidRPr="00464929">
              <w:rPr>
                <w:rFonts w:ascii="Arial" w:hAnsi="Arial" w:cs="Arial"/>
              </w:rPr>
              <w:t>-activating protein</w:t>
            </w:r>
          </w:p>
        </w:tc>
      </w:tr>
      <w:tr w:rsidR="00106EF7" w:rsidRPr="00464929" w:rsidTr="00722427">
        <w:trPr>
          <w:trHeight w:val="5321"/>
        </w:trPr>
        <w:tc>
          <w:tcPr>
            <w:tcW w:w="1101" w:type="dxa"/>
            <w:tcBorders>
              <w:top w:val="nil"/>
              <w:left w:val="nil"/>
              <w:bottom w:val="single" w:sz="4" w:space="0" w:color="auto"/>
              <w:right w:val="nil"/>
            </w:tcBorders>
          </w:tcPr>
          <w:p w:rsidR="00106EF7" w:rsidRPr="00464929" w:rsidRDefault="00106EF7" w:rsidP="00722427">
            <w:pPr>
              <w:contextualSpacing/>
              <w:rPr>
                <w:rFonts w:ascii="Arial" w:hAnsi="Arial" w:cs="Arial"/>
                <w:i/>
                <w:iCs/>
                <w:color w:val="000000"/>
              </w:rPr>
            </w:pPr>
            <w:r w:rsidRPr="00464929">
              <w:rPr>
                <w:rFonts w:ascii="Arial" w:hAnsi="Arial" w:cs="Arial"/>
                <w:i/>
                <w:iCs/>
                <w:color w:val="000000"/>
              </w:rPr>
              <w:t>RHOH</w:t>
            </w:r>
          </w:p>
          <w:p w:rsidR="00106EF7" w:rsidRPr="00464929" w:rsidRDefault="00106EF7" w:rsidP="00722427">
            <w:pPr>
              <w:contextualSpacing/>
              <w:rPr>
                <w:rFonts w:ascii="Arial" w:hAnsi="Arial" w:cs="Arial"/>
              </w:rPr>
            </w:pPr>
            <w:bookmarkStart w:id="0" w:name="_GoBack"/>
            <w:bookmarkEnd w:id="0"/>
          </w:p>
        </w:tc>
        <w:tc>
          <w:tcPr>
            <w:tcW w:w="2382" w:type="dxa"/>
            <w:tcBorders>
              <w:top w:val="nil"/>
              <w:left w:val="nil"/>
              <w:bottom w:val="single" w:sz="4" w:space="0" w:color="auto"/>
              <w:right w:val="nil"/>
            </w:tcBorders>
          </w:tcPr>
          <w:p w:rsidR="00106EF7" w:rsidRPr="00464929" w:rsidRDefault="00106EF7" w:rsidP="00722427">
            <w:pPr>
              <w:contextualSpacing/>
              <w:rPr>
                <w:rFonts w:ascii="Arial" w:hAnsi="Arial" w:cs="Arial"/>
              </w:rPr>
            </w:pPr>
            <w:r w:rsidRPr="00464929">
              <w:rPr>
                <w:rFonts w:ascii="Arial" w:hAnsi="Arial" w:cs="Arial"/>
              </w:rPr>
              <w:t>GO:0031295</w:t>
            </w:r>
          </w:p>
          <w:p w:rsidR="00106EF7" w:rsidRPr="00464929" w:rsidRDefault="00106EF7" w:rsidP="00722427">
            <w:pPr>
              <w:contextualSpacing/>
              <w:rPr>
                <w:rFonts w:ascii="Arial" w:hAnsi="Arial" w:cs="Arial"/>
              </w:rPr>
            </w:pPr>
            <w:r w:rsidRPr="00464929">
              <w:rPr>
                <w:rFonts w:ascii="Arial" w:hAnsi="Arial" w:cs="Arial"/>
              </w:rPr>
              <w:t xml:space="preserve">T cell </w:t>
            </w:r>
            <w:proofErr w:type="spellStart"/>
            <w:r w:rsidRPr="00464929">
              <w:rPr>
                <w:rFonts w:ascii="Arial" w:hAnsi="Arial" w:cs="Arial"/>
              </w:rPr>
              <w:t>costimulation</w:t>
            </w:r>
            <w:proofErr w:type="spellEnd"/>
          </w:p>
          <w:p w:rsidR="00106EF7" w:rsidRPr="00464929" w:rsidRDefault="00106EF7" w:rsidP="00722427">
            <w:pPr>
              <w:contextualSpacing/>
              <w:rPr>
                <w:rFonts w:ascii="Arial" w:hAnsi="Arial" w:cs="Arial"/>
              </w:rPr>
            </w:pPr>
            <w:r w:rsidRPr="00464929">
              <w:rPr>
                <w:rFonts w:ascii="Arial" w:hAnsi="Arial" w:cs="Arial"/>
              </w:rPr>
              <w:t>GO:0007266</w:t>
            </w:r>
          </w:p>
          <w:p w:rsidR="00106EF7" w:rsidRPr="00464929" w:rsidRDefault="00106EF7" w:rsidP="00722427">
            <w:pPr>
              <w:contextualSpacing/>
              <w:rPr>
                <w:rFonts w:ascii="Arial" w:hAnsi="Arial" w:cs="Arial"/>
              </w:rPr>
            </w:pPr>
            <w:r w:rsidRPr="00464929">
              <w:rPr>
                <w:rFonts w:ascii="Arial" w:hAnsi="Arial" w:cs="Arial"/>
              </w:rPr>
              <w:t>Rho protein signal transduction</w:t>
            </w:r>
          </w:p>
          <w:p w:rsidR="00106EF7" w:rsidRPr="00464929" w:rsidRDefault="00106EF7" w:rsidP="00722427">
            <w:pPr>
              <w:contextualSpacing/>
              <w:rPr>
                <w:rFonts w:ascii="Arial" w:hAnsi="Arial" w:cs="Arial"/>
              </w:rPr>
            </w:pPr>
            <w:r w:rsidRPr="00464929">
              <w:rPr>
                <w:rFonts w:ascii="Arial" w:hAnsi="Arial" w:cs="Arial"/>
              </w:rPr>
              <w:t>GO:0030217</w:t>
            </w:r>
          </w:p>
          <w:p w:rsidR="00106EF7" w:rsidRPr="00464929" w:rsidRDefault="00106EF7" w:rsidP="00722427">
            <w:pPr>
              <w:contextualSpacing/>
              <w:rPr>
                <w:rFonts w:ascii="Arial" w:hAnsi="Arial" w:cs="Arial"/>
              </w:rPr>
            </w:pPr>
            <w:r w:rsidRPr="00464929">
              <w:rPr>
                <w:rFonts w:ascii="Arial" w:hAnsi="Arial" w:cs="Arial"/>
              </w:rPr>
              <w:t>T cell differentiation</w:t>
            </w:r>
          </w:p>
          <w:p w:rsidR="00106EF7" w:rsidRPr="00464929" w:rsidRDefault="00106EF7" w:rsidP="00722427">
            <w:pPr>
              <w:contextualSpacing/>
              <w:rPr>
                <w:rFonts w:ascii="Arial" w:hAnsi="Arial" w:cs="Arial"/>
              </w:rPr>
            </w:pPr>
            <w:r w:rsidRPr="00464929">
              <w:rPr>
                <w:rFonts w:ascii="Arial" w:hAnsi="Arial" w:cs="Arial"/>
              </w:rPr>
              <w:t>GO:0050870</w:t>
            </w:r>
          </w:p>
          <w:p w:rsidR="00106EF7" w:rsidRPr="00464929" w:rsidRDefault="00106EF7" w:rsidP="00722427">
            <w:pPr>
              <w:contextualSpacing/>
              <w:rPr>
                <w:rFonts w:ascii="Arial" w:hAnsi="Arial" w:cs="Arial"/>
              </w:rPr>
            </w:pPr>
            <w:r w:rsidRPr="00464929">
              <w:rPr>
                <w:rFonts w:ascii="Arial" w:hAnsi="Arial" w:cs="Arial"/>
              </w:rPr>
              <w:t>Positive regulation of t cell activation</w:t>
            </w:r>
          </w:p>
          <w:p w:rsidR="00106EF7" w:rsidRPr="00464929" w:rsidRDefault="00106EF7" w:rsidP="00722427">
            <w:pPr>
              <w:contextualSpacing/>
              <w:rPr>
                <w:rFonts w:ascii="Arial" w:hAnsi="Arial" w:cs="Arial"/>
              </w:rPr>
            </w:pPr>
            <w:r w:rsidRPr="00464929">
              <w:rPr>
                <w:rFonts w:ascii="Arial" w:hAnsi="Arial" w:cs="Arial"/>
              </w:rPr>
              <w:t>GO:0001772</w:t>
            </w:r>
          </w:p>
          <w:p w:rsidR="00106EF7" w:rsidRPr="00464929" w:rsidRDefault="00106EF7" w:rsidP="00722427">
            <w:pPr>
              <w:contextualSpacing/>
              <w:rPr>
                <w:rFonts w:ascii="Arial" w:hAnsi="Arial" w:cs="Arial"/>
              </w:rPr>
            </w:pPr>
            <w:r w:rsidRPr="00464929">
              <w:rPr>
                <w:rFonts w:ascii="Arial" w:hAnsi="Arial" w:cs="Arial"/>
              </w:rPr>
              <w:t>Immunological synapse</w:t>
            </w:r>
          </w:p>
        </w:tc>
        <w:tc>
          <w:tcPr>
            <w:tcW w:w="1697" w:type="dxa"/>
            <w:tcBorders>
              <w:top w:val="nil"/>
              <w:left w:val="nil"/>
              <w:bottom w:val="single" w:sz="4" w:space="0" w:color="auto"/>
              <w:right w:val="nil"/>
            </w:tcBorders>
          </w:tcPr>
          <w:p w:rsidR="00106EF7" w:rsidRPr="00464929" w:rsidRDefault="00106EF7" w:rsidP="00722427">
            <w:pPr>
              <w:contextualSpacing/>
              <w:rPr>
                <w:rFonts w:ascii="Arial" w:hAnsi="Arial" w:cs="Arial"/>
              </w:rPr>
            </w:pPr>
            <w:proofErr w:type="gramStart"/>
            <w:r w:rsidRPr="00464929">
              <w:rPr>
                <w:rFonts w:ascii="Arial" w:hAnsi="Arial" w:cs="Arial"/>
              </w:rPr>
              <w:t>hsa05340</w:t>
            </w:r>
            <w:proofErr w:type="gramEnd"/>
          </w:p>
          <w:p w:rsidR="00106EF7" w:rsidRPr="00464929" w:rsidRDefault="00106EF7" w:rsidP="00722427">
            <w:pPr>
              <w:contextualSpacing/>
              <w:rPr>
                <w:rFonts w:ascii="Arial" w:hAnsi="Arial" w:cs="Arial"/>
              </w:rPr>
            </w:pPr>
            <w:r w:rsidRPr="00464929">
              <w:rPr>
                <w:rFonts w:ascii="Arial" w:hAnsi="Arial" w:cs="Arial"/>
              </w:rPr>
              <w:t>Primary immunodeficiency</w:t>
            </w:r>
          </w:p>
          <w:p w:rsidR="00106EF7" w:rsidRPr="00464929" w:rsidRDefault="00106EF7" w:rsidP="00722427">
            <w:pPr>
              <w:contextualSpacing/>
              <w:rPr>
                <w:rFonts w:ascii="Arial" w:hAnsi="Arial" w:cs="Arial"/>
              </w:rPr>
            </w:pPr>
            <w:proofErr w:type="gramStart"/>
            <w:r w:rsidRPr="00464929">
              <w:rPr>
                <w:rFonts w:ascii="Arial" w:hAnsi="Arial" w:cs="Arial"/>
              </w:rPr>
              <w:t>hsa04660</w:t>
            </w:r>
            <w:proofErr w:type="gramEnd"/>
          </w:p>
          <w:p w:rsidR="00106EF7" w:rsidRPr="00464929" w:rsidRDefault="00106EF7" w:rsidP="00722427">
            <w:pPr>
              <w:contextualSpacing/>
              <w:rPr>
                <w:rFonts w:ascii="Arial" w:hAnsi="Arial" w:cs="Arial"/>
              </w:rPr>
            </w:pPr>
            <w:r w:rsidRPr="00464929">
              <w:rPr>
                <w:rFonts w:ascii="Arial" w:hAnsi="Arial" w:cs="Arial"/>
              </w:rPr>
              <w:t>T cell receptor signaling pathway</w:t>
            </w:r>
          </w:p>
          <w:p w:rsidR="00106EF7" w:rsidRPr="00464929" w:rsidRDefault="00106EF7" w:rsidP="00722427">
            <w:pPr>
              <w:contextualSpacing/>
              <w:rPr>
                <w:rFonts w:ascii="Arial" w:hAnsi="Arial" w:cs="Arial"/>
              </w:rPr>
            </w:pPr>
            <w:proofErr w:type="gramStart"/>
            <w:r w:rsidRPr="00464929">
              <w:rPr>
                <w:rFonts w:ascii="Arial" w:hAnsi="Arial" w:cs="Arial"/>
              </w:rPr>
              <w:t>hsa04722</w:t>
            </w:r>
            <w:proofErr w:type="gramEnd"/>
          </w:p>
          <w:p w:rsidR="00106EF7" w:rsidRPr="00464929" w:rsidRDefault="00106EF7" w:rsidP="00722427">
            <w:pPr>
              <w:contextualSpacing/>
              <w:rPr>
                <w:rFonts w:ascii="Arial" w:hAnsi="Arial" w:cs="Arial"/>
              </w:rPr>
            </w:pPr>
            <w:proofErr w:type="spellStart"/>
            <w:r w:rsidRPr="00464929">
              <w:rPr>
                <w:rFonts w:ascii="Arial" w:hAnsi="Arial" w:cs="Arial"/>
              </w:rPr>
              <w:t>Neurotrophin</w:t>
            </w:r>
            <w:proofErr w:type="spellEnd"/>
            <w:r w:rsidRPr="00464929">
              <w:rPr>
                <w:rFonts w:ascii="Arial" w:hAnsi="Arial" w:cs="Arial"/>
              </w:rPr>
              <w:t xml:space="preserve"> signaling pathway</w:t>
            </w:r>
          </w:p>
          <w:p w:rsidR="00106EF7" w:rsidRPr="00464929" w:rsidRDefault="00106EF7" w:rsidP="00722427">
            <w:pPr>
              <w:contextualSpacing/>
              <w:rPr>
                <w:rFonts w:ascii="Arial" w:hAnsi="Arial" w:cs="Arial"/>
              </w:rPr>
            </w:pPr>
            <w:proofErr w:type="gramStart"/>
            <w:r w:rsidRPr="00464929">
              <w:rPr>
                <w:rFonts w:ascii="Arial" w:hAnsi="Arial" w:cs="Arial"/>
              </w:rPr>
              <w:t>hsa05235</w:t>
            </w:r>
            <w:proofErr w:type="gramEnd"/>
          </w:p>
          <w:p w:rsidR="00106EF7" w:rsidRPr="00464929" w:rsidRDefault="00106EF7" w:rsidP="00722427">
            <w:pPr>
              <w:contextualSpacing/>
              <w:rPr>
                <w:rFonts w:ascii="Arial" w:hAnsi="Arial" w:cs="Arial"/>
              </w:rPr>
            </w:pPr>
            <w:r w:rsidRPr="00464929">
              <w:rPr>
                <w:rFonts w:ascii="Arial" w:hAnsi="Arial" w:cs="Arial"/>
              </w:rPr>
              <w:t>PD-L1 expression and PD-1 checkpoint pathway in cancer</w:t>
            </w:r>
          </w:p>
          <w:p w:rsidR="00106EF7" w:rsidRPr="00464929" w:rsidRDefault="00106EF7" w:rsidP="00722427">
            <w:pPr>
              <w:contextualSpacing/>
              <w:rPr>
                <w:rFonts w:ascii="Arial" w:hAnsi="Arial" w:cs="Arial"/>
              </w:rPr>
            </w:pPr>
          </w:p>
        </w:tc>
        <w:tc>
          <w:tcPr>
            <w:tcW w:w="2225" w:type="dxa"/>
            <w:tcBorders>
              <w:top w:val="nil"/>
              <w:left w:val="nil"/>
              <w:bottom w:val="single" w:sz="4" w:space="0" w:color="auto"/>
              <w:right w:val="nil"/>
            </w:tcBorders>
          </w:tcPr>
          <w:p w:rsidR="00106EF7" w:rsidRPr="00464929" w:rsidRDefault="00106EF7" w:rsidP="00722427">
            <w:pPr>
              <w:contextualSpacing/>
              <w:rPr>
                <w:rFonts w:ascii="Arial" w:hAnsi="Arial" w:cs="Arial"/>
              </w:rPr>
            </w:pPr>
            <w:r w:rsidRPr="00464929">
              <w:rPr>
                <w:rFonts w:ascii="Arial" w:hAnsi="Arial" w:cs="Arial"/>
              </w:rPr>
              <w:t>DOID</w:t>
            </w:r>
            <w:proofErr w:type="gramStart"/>
            <w:r w:rsidRPr="00464929">
              <w:rPr>
                <w:rFonts w:ascii="Arial" w:hAnsi="Arial" w:cs="Arial"/>
              </w:rPr>
              <w:t>:162</w:t>
            </w:r>
            <w:proofErr w:type="gramEnd"/>
          </w:p>
          <w:p w:rsidR="00106EF7" w:rsidRPr="00464929" w:rsidRDefault="00106EF7" w:rsidP="00722427">
            <w:pPr>
              <w:contextualSpacing/>
              <w:rPr>
                <w:rFonts w:ascii="Arial" w:hAnsi="Arial" w:cs="Arial"/>
              </w:rPr>
            </w:pPr>
            <w:r w:rsidRPr="00464929">
              <w:rPr>
                <w:rFonts w:ascii="Arial" w:hAnsi="Arial" w:cs="Arial"/>
              </w:rPr>
              <w:t>Cancer</w:t>
            </w:r>
          </w:p>
        </w:tc>
        <w:tc>
          <w:tcPr>
            <w:tcW w:w="2965" w:type="dxa"/>
            <w:tcBorders>
              <w:top w:val="nil"/>
              <w:left w:val="nil"/>
              <w:bottom w:val="single" w:sz="4" w:space="0" w:color="auto"/>
              <w:right w:val="nil"/>
            </w:tcBorders>
          </w:tcPr>
          <w:p w:rsidR="00106EF7" w:rsidRPr="00464929" w:rsidRDefault="00106EF7" w:rsidP="00722427">
            <w:pPr>
              <w:contextualSpacing/>
              <w:rPr>
                <w:rFonts w:ascii="Arial" w:hAnsi="Arial" w:cs="Arial"/>
              </w:rPr>
            </w:pPr>
            <w:r w:rsidRPr="00464929">
              <w:rPr>
                <w:rFonts w:ascii="Arial" w:hAnsi="Arial" w:cs="Arial"/>
              </w:rPr>
              <w:t xml:space="preserve">Rho-related GTP-binding protein is a hematopoietic system-specific </w:t>
            </w:r>
            <w:proofErr w:type="spellStart"/>
            <w:r w:rsidRPr="00464929">
              <w:rPr>
                <w:rFonts w:ascii="Arial" w:hAnsi="Arial" w:cs="Arial"/>
              </w:rPr>
              <w:t>GTPase</w:t>
            </w:r>
            <w:proofErr w:type="spellEnd"/>
            <w:r w:rsidRPr="00464929">
              <w:rPr>
                <w:rFonts w:ascii="Arial" w:hAnsi="Arial" w:cs="Arial"/>
              </w:rPr>
              <w:t xml:space="preserve">; Negative regulator of hematopoietic progenitor cell proliferation, survival and migration. Critical regulator of </w:t>
            </w:r>
            <w:proofErr w:type="spellStart"/>
            <w:r w:rsidRPr="00464929">
              <w:rPr>
                <w:rFonts w:ascii="Arial" w:hAnsi="Arial" w:cs="Arial"/>
              </w:rPr>
              <w:t>thymocyte</w:t>
            </w:r>
            <w:proofErr w:type="spellEnd"/>
            <w:r w:rsidRPr="00464929">
              <w:rPr>
                <w:rFonts w:ascii="Arial" w:hAnsi="Arial" w:cs="Arial"/>
              </w:rPr>
              <w:t xml:space="preserve"> development and T-cell antigen receptor (TCR) signaling</w:t>
            </w:r>
          </w:p>
        </w:tc>
      </w:tr>
    </w:tbl>
    <w:p w:rsidR="00106EF7" w:rsidRPr="00464929" w:rsidRDefault="00106EF7" w:rsidP="00106EF7">
      <w:pPr>
        <w:spacing w:line="240" w:lineRule="auto"/>
        <w:contextualSpacing/>
        <w:rPr>
          <w:rFonts w:ascii="Arial" w:hAnsi="Arial" w:cs="Arial"/>
          <w:b/>
          <w:bCs/>
        </w:rPr>
      </w:pPr>
    </w:p>
    <w:p w:rsidR="00C136DB" w:rsidRDefault="00C136DB" w:rsidP="00106EF7"/>
    <w:sectPr w:rsidR="00C136DB" w:rsidSect="00106EF7">
      <w:pgSz w:w="12240" w:h="15840"/>
      <w:pgMar w:top="1440" w:right="900" w:bottom="144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EF7"/>
    <w:rsid w:val="00106EF7"/>
    <w:rsid w:val="00C136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2D475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EF7"/>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6EF7"/>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EF7"/>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6EF7"/>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450</Words>
  <Characters>2566</Characters>
  <Application>Microsoft Macintosh Word</Application>
  <DocSecurity>0</DocSecurity>
  <Lines>21</Lines>
  <Paragraphs>6</Paragraphs>
  <ScaleCrop>false</ScaleCrop>
  <Company/>
  <LinksUpToDate>false</LinksUpToDate>
  <CharactersWithSpaces>3010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Dumonteil</dc:creator>
  <cp:keywords/>
  <dc:description/>
  <cp:lastModifiedBy>Eric Dumonteil</cp:lastModifiedBy>
  <cp:revision>1</cp:revision>
  <dcterms:created xsi:type="dcterms:W3CDTF">2022-08-01T08:27:00Z</dcterms:created>
  <dcterms:modified xsi:type="dcterms:W3CDTF">2022-08-01T08:28:00Z</dcterms:modified>
</cp:coreProperties>
</file>