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8F33" w14:textId="77777777" w:rsidR="00470CD2" w:rsidRPr="00615D8A" w:rsidRDefault="00470CD2" w:rsidP="00470CD2">
      <w:pPr>
        <w:rPr>
          <w:rFonts w:cstheme="minorHAnsi"/>
          <w:i/>
          <w:iCs/>
          <w:lang w:val="en-US"/>
        </w:rPr>
      </w:pPr>
      <w:r w:rsidRPr="00615D8A">
        <w:rPr>
          <w:rFonts w:cstheme="minorHAnsi"/>
          <w:b/>
          <w:bCs/>
          <w:lang w:val="en-US"/>
        </w:rPr>
        <w:t>Supplementary Table 1</w:t>
      </w:r>
      <w:r w:rsidRPr="00615D8A">
        <w:rPr>
          <w:rFonts w:cstheme="minorHAnsi"/>
          <w:b/>
          <w:bCs/>
          <w:i/>
          <w:iCs/>
          <w:lang w:val="en-US"/>
        </w:rPr>
        <w:t xml:space="preserve">. </w:t>
      </w:r>
      <w:r w:rsidRPr="00615D8A">
        <w:rPr>
          <w:rFonts w:cstheme="minorHAnsi"/>
          <w:i/>
          <w:iCs/>
          <w:lang w:val="en-US"/>
        </w:rPr>
        <w:t>Reduced odds for a severe infection in the follow up (post-index) period, with IgPro10, adjusting for covariates: A general linear model in matched cohorts* restricted to patients with at least 6 months of follow up.</w:t>
      </w:r>
    </w:p>
    <w:p w14:paraId="51408658" w14:textId="77777777" w:rsidR="00470CD2" w:rsidRPr="00615D8A" w:rsidRDefault="00470CD2" w:rsidP="00470CD2">
      <w:pPr>
        <w:rPr>
          <w:rFonts w:cstheme="minorHAnsi"/>
          <w:i/>
          <w:iCs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133"/>
        <w:gridCol w:w="960"/>
        <w:gridCol w:w="1134"/>
        <w:gridCol w:w="1274"/>
        <w:gridCol w:w="983"/>
      </w:tblGrid>
      <w:tr w:rsidR="00470CD2" w:rsidRPr="00615D8A" w14:paraId="4E393DC2" w14:textId="77777777" w:rsidTr="00FF2E99">
        <w:trPr>
          <w:trHeight w:val="102"/>
        </w:trPr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6" w:type="dxa"/>
              <w:left w:w="151" w:type="dxa"/>
              <w:bottom w:w="76" w:type="dxa"/>
              <w:right w:w="151" w:type="dxa"/>
            </w:tcMar>
            <w:hideMark/>
          </w:tcPr>
          <w:p w14:paraId="336ED09C" w14:textId="77777777" w:rsidR="00470CD2" w:rsidRPr="00615D8A" w:rsidRDefault="00470CD2" w:rsidP="00FF2E99">
            <w:pPr>
              <w:spacing w:line="276" w:lineRule="auto"/>
              <w:rPr>
                <w:rFonts w:eastAsia="Times New Roman" w:cstheme="minorHAnsi"/>
                <w:lang w:val="en-US" w:eastAsia="en-GB"/>
              </w:rPr>
            </w:pPr>
          </w:p>
        </w:tc>
        <w:tc>
          <w:tcPr>
            <w:tcW w:w="24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3D45C711" w14:textId="77777777" w:rsidR="00470CD2" w:rsidRPr="00615D8A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615D8A">
              <w:rPr>
                <w:rFonts w:eastAsia="Times New Roman" w:cstheme="minorHAnsi"/>
                <w:b/>
                <w:bCs/>
                <w:kern w:val="24"/>
                <w:lang w:val="en-US" w:eastAsia="en-GB"/>
              </w:rPr>
              <w:t>95% confident limits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38F29B36" w14:textId="77777777" w:rsidR="00470CD2" w:rsidRPr="00615D8A" w:rsidRDefault="00470CD2" w:rsidP="00FF2E99">
            <w:pPr>
              <w:spacing w:line="276" w:lineRule="auto"/>
              <w:rPr>
                <w:rFonts w:eastAsia="Times New Roman" w:cstheme="minorHAnsi"/>
                <w:lang w:val="en-US" w:eastAsia="en-GB"/>
              </w:rPr>
            </w:pPr>
          </w:p>
        </w:tc>
      </w:tr>
      <w:tr w:rsidR="00470CD2" w:rsidRPr="00615D8A" w14:paraId="3DA75E1D" w14:textId="77777777" w:rsidTr="00FF2E99">
        <w:trPr>
          <w:trHeight w:val="3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05031ED6" w14:textId="77777777" w:rsidR="00470CD2" w:rsidRPr="00615D8A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615D8A">
              <w:rPr>
                <w:rFonts w:eastAsia="Times New Roman" w:cstheme="minorHAnsi"/>
                <w:b/>
                <w:bCs/>
                <w:kern w:val="24"/>
                <w:lang w:val="en-US" w:eastAsia="en-GB"/>
              </w:rPr>
              <w:t>Pre-index (baseline) independent variable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63C2A5AC" w14:textId="77777777" w:rsidR="00470CD2" w:rsidRPr="00615D8A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615D8A">
              <w:rPr>
                <w:rFonts w:eastAsia="Times New Roman" w:cstheme="minorHAnsi"/>
                <w:b/>
                <w:bCs/>
                <w:kern w:val="24"/>
                <w:lang w:val="en-US" w:eastAsia="en-GB"/>
              </w:rPr>
              <w:t>OR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3D5A9E96" w14:textId="77777777" w:rsidR="00470CD2" w:rsidRPr="00615D8A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615D8A">
              <w:rPr>
                <w:rFonts w:eastAsia="Times New Roman" w:cstheme="minorHAnsi"/>
                <w:b/>
                <w:bCs/>
                <w:kern w:val="24"/>
                <w:lang w:val="en-US" w:eastAsia="en-GB"/>
              </w:rPr>
              <w:t>Lower limit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5882B7EF" w14:textId="77777777" w:rsidR="00470CD2" w:rsidRPr="00615D8A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615D8A">
              <w:rPr>
                <w:rFonts w:eastAsia="Times New Roman" w:cstheme="minorHAnsi"/>
                <w:b/>
                <w:bCs/>
                <w:kern w:val="24"/>
                <w:lang w:val="en-US" w:eastAsia="en-GB"/>
              </w:rPr>
              <w:t>Upper limit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29D724B1" w14:textId="77777777" w:rsidR="00470CD2" w:rsidRPr="00615D8A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615D8A">
              <w:rPr>
                <w:rFonts w:eastAsia="Times New Roman" w:cstheme="minorHAnsi"/>
                <w:b/>
                <w:bCs/>
                <w:kern w:val="24"/>
                <w:lang w:val="en-US" w:eastAsia="en-GB"/>
              </w:rPr>
              <w:t>p-value</w:t>
            </w:r>
          </w:p>
        </w:tc>
      </w:tr>
      <w:tr w:rsidR="00470CD2" w:rsidRPr="00615D8A" w14:paraId="6C6CD238" w14:textId="77777777" w:rsidTr="00FF2E99">
        <w:trPr>
          <w:trHeight w:val="1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58D240C5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IgPro10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150BB54A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7D3684B0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0.25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F8D459B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59B413EA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0.3664</w:t>
            </w:r>
          </w:p>
        </w:tc>
      </w:tr>
      <w:tr w:rsidR="00470CD2" w:rsidRPr="00615D8A" w14:paraId="0CB96E95" w14:textId="77777777" w:rsidTr="00FF2E99">
        <w:trPr>
          <w:trHeight w:val="2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25C9A2DC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Neutropenia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437996C8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A9A4DB9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7CA48E97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4FFF35A2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0.1181</w:t>
            </w:r>
          </w:p>
        </w:tc>
      </w:tr>
      <w:tr w:rsidR="00470CD2" w:rsidRPr="00615D8A" w14:paraId="08365CF9" w14:textId="77777777" w:rsidTr="00FF2E99">
        <w:trPr>
          <w:trHeight w:val="11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40D3FEBB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≥1 chemotherapy lines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1FE0130B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72474EEE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0.75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34ABFAAC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3.60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44BC55DA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0.2144</w:t>
            </w:r>
          </w:p>
        </w:tc>
      </w:tr>
      <w:tr w:rsidR="00470CD2" w:rsidRPr="00615D8A" w14:paraId="2DEE3C2E" w14:textId="77777777" w:rsidTr="00FF2E99">
        <w:trPr>
          <w:trHeight w:val="2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28996897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Age ≥65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04E422C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754D593D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0.43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33656F66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2.69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556F67CE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0.8725</w:t>
            </w:r>
          </w:p>
        </w:tc>
      </w:tr>
      <w:tr w:rsidR="00470CD2" w:rsidRPr="00615D8A" w14:paraId="41739DA7" w14:textId="77777777" w:rsidTr="00FF2E99">
        <w:trPr>
          <w:trHeight w:val="22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27876B3B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≥4 prior infections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11298AF5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01C4884A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0.34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6BAD2398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3.74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6C3B7E92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0.8543</w:t>
            </w:r>
          </w:p>
        </w:tc>
      </w:tr>
      <w:tr w:rsidR="00470CD2" w:rsidRPr="00615D8A" w14:paraId="7F8364B6" w14:textId="77777777" w:rsidTr="00FF2E99">
        <w:trPr>
          <w:trHeight w:val="34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0B73D7D4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Normal serum IgG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762B906B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00503FC0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0.16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1AA6B5D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1E5949F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0.2225</w:t>
            </w:r>
          </w:p>
        </w:tc>
      </w:tr>
      <w:tr w:rsidR="00470CD2" w:rsidRPr="00615D8A" w14:paraId="079524BD" w14:textId="77777777" w:rsidTr="00FF2E99">
        <w:trPr>
          <w:trHeight w:val="2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6EBB88DC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Hypogammaglobulinemia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B7E4BBF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72CA08D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0.23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7618039B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124F4EF7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0.4423</w:t>
            </w:r>
          </w:p>
        </w:tc>
      </w:tr>
      <w:tr w:rsidR="00470CD2" w:rsidRPr="00615D8A" w14:paraId="05ABCD05" w14:textId="77777777" w:rsidTr="00FF2E99">
        <w:trPr>
          <w:trHeight w:val="23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7FAF1350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CLL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7A84EE27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58B14561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0.23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3BF73C8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4.52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02C97575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0.9741</w:t>
            </w:r>
          </w:p>
        </w:tc>
      </w:tr>
      <w:tr w:rsidR="00470CD2" w:rsidRPr="00615D8A" w14:paraId="3B5D3322" w14:textId="77777777" w:rsidTr="00FF2E99">
        <w:trPr>
          <w:trHeight w:val="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2AE4DF2F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MM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952D88C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1.15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6A4A2C37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0.30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3A8F28C3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211B9CDB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0.8404</w:t>
            </w:r>
          </w:p>
        </w:tc>
      </w:tr>
      <w:tr w:rsidR="00470CD2" w:rsidRPr="00615D8A" w14:paraId="6AEEB257" w14:textId="77777777" w:rsidTr="00FF2E99">
        <w:trPr>
          <w:trHeight w:val="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  <w:hideMark/>
          </w:tcPr>
          <w:p w14:paraId="017F7453" w14:textId="77777777" w:rsidR="00470CD2" w:rsidRPr="0056725F" w:rsidRDefault="00470CD2" w:rsidP="00FF2E99">
            <w:pPr>
              <w:spacing w:line="276" w:lineRule="auto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kern w:val="24"/>
                <w:lang w:val="en-US" w:eastAsia="en-GB"/>
              </w:rPr>
              <w:t>NHL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119E46E2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0011FE75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0.22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4D5B8FE1" w14:textId="77777777" w:rsidR="00470CD2" w:rsidRPr="0056725F" w:rsidRDefault="00470CD2" w:rsidP="00FF2E99">
            <w:pPr>
              <w:spacing w:line="276" w:lineRule="auto"/>
              <w:jc w:val="center"/>
              <w:textAlignment w:val="bottom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2.15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6" w:type="dxa"/>
              <w:left w:w="151" w:type="dxa"/>
              <w:bottom w:w="76" w:type="dxa"/>
              <w:right w:w="151" w:type="dxa"/>
            </w:tcMar>
            <w:vAlign w:val="center"/>
          </w:tcPr>
          <w:p w14:paraId="4CAB83DE" w14:textId="77777777" w:rsidR="00470CD2" w:rsidRPr="0056725F" w:rsidRDefault="00470CD2" w:rsidP="00FF2E99">
            <w:pPr>
              <w:spacing w:line="276" w:lineRule="auto"/>
              <w:jc w:val="center"/>
              <w:textAlignment w:val="top"/>
              <w:rPr>
                <w:rFonts w:eastAsia="Times New Roman" w:cstheme="minorHAnsi"/>
                <w:lang w:val="en-US" w:eastAsia="en-GB"/>
              </w:rPr>
            </w:pPr>
            <w:r w:rsidRPr="0056725F">
              <w:rPr>
                <w:rFonts w:eastAsia="Times New Roman" w:cstheme="minorHAnsi"/>
                <w:lang w:val="en-US" w:eastAsia="en-GB"/>
              </w:rPr>
              <w:t>0.5253</w:t>
            </w:r>
          </w:p>
        </w:tc>
      </w:tr>
    </w:tbl>
    <w:p w14:paraId="623C9383" w14:textId="77777777" w:rsidR="00470CD2" w:rsidRPr="00615D8A" w:rsidRDefault="00470CD2" w:rsidP="00470CD2">
      <w:pPr>
        <w:rPr>
          <w:rFonts w:cstheme="minorHAnsi"/>
          <w:lang w:val="en-US"/>
        </w:rPr>
      </w:pPr>
      <w:r w:rsidRPr="00615D8A">
        <w:rPr>
          <w:rFonts w:cstheme="minorHAnsi"/>
          <w:lang w:val="en-US"/>
        </w:rPr>
        <w:t>*Matching was performed with a 1:2 ratio of IgPro10 cohort to non-</w:t>
      </w:r>
      <w:proofErr w:type="spellStart"/>
      <w:r w:rsidRPr="00615D8A">
        <w:rPr>
          <w:rFonts w:cstheme="minorHAnsi"/>
          <w:lang w:val="en-US"/>
        </w:rPr>
        <w:t>IgRT</w:t>
      </w:r>
      <w:proofErr w:type="spellEnd"/>
      <w:r w:rsidRPr="00615D8A">
        <w:rPr>
          <w:rFonts w:cstheme="minorHAnsi"/>
          <w:lang w:val="en-US"/>
        </w:rPr>
        <w:t xml:space="preserve"> cohort (77 IgPro10 patients; 154 non-</w:t>
      </w:r>
      <w:proofErr w:type="spellStart"/>
      <w:r w:rsidRPr="00615D8A">
        <w:rPr>
          <w:rFonts w:cstheme="minorHAnsi"/>
          <w:lang w:val="en-US"/>
        </w:rPr>
        <w:t>IgRT</w:t>
      </w:r>
      <w:proofErr w:type="spellEnd"/>
      <w:r w:rsidRPr="00615D8A">
        <w:rPr>
          <w:rFonts w:cstheme="minorHAnsi"/>
          <w:lang w:val="en-US"/>
        </w:rPr>
        <w:t xml:space="preserve"> patients).</w:t>
      </w:r>
    </w:p>
    <w:p w14:paraId="48F3F59C" w14:textId="77777777" w:rsidR="00470CD2" w:rsidRPr="00615D8A" w:rsidRDefault="00470CD2" w:rsidP="00470CD2">
      <w:pPr>
        <w:rPr>
          <w:lang w:val="en-US"/>
        </w:rPr>
      </w:pPr>
    </w:p>
    <w:p w14:paraId="14BAAF2B" w14:textId="52224686" w:rsidR="008B6AB1" w:rsidRDefault="00470CD2" w:rsidP="00470CD2">
      <w:r w:rsidRPr="00615D8A">
        <w:rPr>
          <w:lang w:val="en-US"/>
        </w:rPr>
        <w:t xml:space="preserve">CLL, chronic lymphocytic leukemia; IgG, immunoglobulin G; </w:t>
      </w:r>
      <w:proofErr w:type="spellStart"/>
      <w:r w:rsidRPr="00615D8A">
        <w:rPr>
          <w:lang w:val="en-US"/>
        </w:rPr>
        <w:t>IgRT</w:t>
      </w:r>
      <w:proofErr w:type="spellEnd"/>
      <w:r w:rsidRPr="00615D8A">
        <w:rPr>
          <w:lang w:val="en-US"/>
        </w:rPr>
        <w:t xml:space="preserve">, immunoglobulin replacement therapy; MM, multiple myeloma; NHL, non-Hodgkin’s lymphoma; </w:t>
      </w:r>
      <w:proofErr w:type="gramStart"/>
      <w:r w:rsidRPr="00615D8A">
        <w:rPr>
          <w:lang w:val="en-US"/>
        </w:rPr>
        <w:t>OR,</w:t>
      </w:r>
      <w:proofErr w:type="gramEnd"/>
      <w:r w:rsidRPr="00615D8A">
        <w:rPr>
          <w:lang w:val="en-US"/>
        </w:rPr>
        <w:t xml:space="preserve"> odds ratio.</w:t>
      </w:r>
    </w:p>
    <w:sectPr w:rsidR="008B6A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CD2"/>
    <w:rsid w:val="000072A6"/>
    <w:rsid w:val="00470CD2"/>
    <w:rsid w:val="006125F2"/>
    <w:rsid w:val="008B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C4278"/>
  <w15:chartTrackingRefBased/>
  <w15:docId w15:val="{143DA145-1F97-4CFE-9A95-C1AEA029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C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Todd</dc:creator>
  <cp:keywords/>
  <dc:description/>
  <cp:lastModifiedBy>Johanna Todd</cp:lastModifiedBy>
  <cp:revision>1</cp:revision>
  <dcterms:created xsi:type="dcterms:W3CDTF">2022-07-28T09:25:00Z</dcterms:created>
  <dcterms:modified xsi:type="dcterms:W3CDTF">2022-07-28T09:25:00Z</dcterms:modified>
</cp:coreProperties>
</file>