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71AB4" w14:textId="0B46F3BA" w:rsidR="00624609" w:rsidRDefault="00624609">
      <w:r w:rsidRPr="00624609">
        <w:t>Supplementary figure G</w:t>
      </w:r>
      <w:r>
        <w:t xml:space="preserve">. </w:t>
      </w:r>
      <w:r w:rsidRPr="00624609">
        <w:t>Median overall survival comparison between adjuvant and neoadjuvant chemotherapy in (A) MSI-H and (B) MSI-L</w:t>
      </w:r>
      <w:r>
        <w:t>.</w:t>
      </w:r>
      <w:bookmarkStart w:id="0" w:name="_GoBack"/>
      <w:bookmarkEnd w:id="0"/>
    </w:p>
    <w:p w14:paraId="2FBA3988" w14:textId="77777777" w:rsidR="00624609" w:rsidRDefault="00624609"/>
    <w:p w14:paraId="56CCF099" w14:textId="60A83305" w:rsidR="00A964B5" w:rsidRDefault="00352511">
      <w:r>
        <w:rPr>
          <w:noProof/>
          <w:lang w:val="en-GB" w:eastAsia="en-GB"/>
        </w:rPr>
        <w:drawing>
          <wp:inline distT="0" distB="0" distL="0" distR="0" wp14:anchorId="7CB6E91F" wp14:editId="72B0D424">
            <wp:extent cx="5943600" cy="6329680"/>
            <wp:effectExtent l="0" t="0" r="0" b="0"/>
            <wp:docPr id="12" name="Picture 1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Chart, line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2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6"/>
    <w:rsid w:val="000E5F05"/>
    <w:rsid w:val="00170853"/>
    <w:rsid w:val="00213210"/>
    <w:rsid w:val="00352511"/>
    <w:rsid w:val="00467C41"/>
    <w:rsid w:val="00624609"/>
    <w:rsid w:val="00696CA8"/>
    <w:rsid w:val="00736476"/>
    <w:rsid w:val="00A93A31"/>
    <w:rsid w:val="00A964B5"/>
    <w:rsid w:val="00BA3374"/>
    <w:rsid w:val="00C17642"/>
    <w:rsid w:val="00CE3B88"/>
    <w:rsid w:val="00EB6513"/>
    <w:rsid w:val="00F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82F2"/>
  <w15:chartTrackingRefBased/>
  <w15:docId w15:val="{3345D99F-21AB-5747-8759-CDF6174B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Laura Dormer</cp:lastModifiedBy>
  <cp:revision>3</cp:revision>
  <dcterms:created xsi:type="dcterms:W3CDTF">2021-03-22T18:14:00Z</dcterms:created>
  <dcterms:modified xsi:type="dcterms:W3CDTF">2022-01-05T09:20:00Z</dcterms:modified>
</cp:coreProperties>
</file>