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9C6EF" w14:textId="66745A7D" w:rsidR="009F722B" w:rsidRPr="00331F0D" w:rsidRDefault="002C0BA0" w:rsidP="009F722B">
      <w:pPr>
        <w:spacing w:line="360" w:lineRule="auto"/>
        <w:rPr>
          <w:rFonts w:ascii="Arial" w:hAnsi="Arial" w:cs="Arial"/>
          <w:sz w:val="24"/>
          <w:szCs w:val="24"/>
        </w:rPr>
      </w:pPr>
      <w:r w:rsidRPr="002C0BA0">
        <w:rPr>
          <w:rFonts w:ascii="Arial" w:hAnsi="Arial" w:cs="Arial"/>
          <w:b/>
          <w:bCs/>
          <w:sz w:val="24"/>
          <w:szCs w:val="24"/>
        </w:rPr>
        <w:t xml:space="preserve">Supplementary </w:t>
      </w:r>
      <w:r w:rsidR="009F722B" w:rsidRPr="00331F0D">
        <w:rPr>
          <w:rFonts w:ascii="Arial" w:hAnsi="Arial" w:cs="Arial"/>
          <w:b/>
          <w:bCs/>
          <w:sz w:val="24"/>
          <w:szCs w:val="24"/>
        </w:rPr>
        <w:t>Table 1.</w:t>
      </w:r>
      <w:r w:rsidR="009F722B" w:rsidRPr="00331F0D">
        <w:rPr>
          <w:rFonts w:ascii="Arial" w:hAnsi="Arial" w:cs="Arial"/>
          <w:sz w:val="24"/>
          <w:szCs w:val="24"/>
        </w:rPr>
        <w:t xml:space="preserve"> The doses of bevacizumab and chemotherapy.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0"/>
        <w:gridCol w:w="4146"/>
      </w:tblGrid>
      <w:tr w:rsidR="009F722B" w:rsidRPr="00331F0D" w14:paraId="2E96E428" w14:textId="77777777" w:rsidTr="00B216AB">
        <w:tc>
          <w:tcPr>
            <w:tcW w:w="4153" w:type="dxa"/>
          </w:tcPr>
          <w:p w14:paraId="1621A7E0" w14:textId="77777777" w:rsidR="009F722B" w:rsidRPr="00331F0D" w:rsidRDefault="009F722B" w:rsidP="00B216A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1F0D">
              <w:rPr>
                <w:rFonts w:ascii="Arial" w:hAnsi="Arial" w:cs="Arial"/>
                <w:b/>
                <w:bCs/>
                <w:sz w:val="24"/>
                <w:szCs w:val="24"/>
              </w:rPr>
              <w:t>CapeOx+ bevacizumab</w:t>
            </w:r>
          </w:p>
        </w:tc>
        <w:tc>
          <w:tcPr>
            <w:tcW w:w="4149" w:type="dxa"/>
          </w:tcPr>
          <w:p w14:paraId="2432092E" w14:textId="77777777" w:rsidR="009F722B" w:rsidRPr="00331F0D" w:rsidRDefault="009F722B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1F0D">
              <w:rPr>
                <w:rFonts w:ascii="Arial" w:hAnsi="Arial" w:cs="Arial"/>
                <w:sz w:val="24"/>
                <w:szCs w:val="24"/>
              </w:rPr>
              <w:t>oxaliplatin 130mg/m</w:t>
            </w:r>
            <w:r w:rsidRPr="00331F0D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2 </w:t>
            </w:r>
            <w:r w:rsidRPr="00331F0D">
              <w:rPr>
                <w:rFonts w:ascii="Arial" w:hAnsi="Arial" w:cs="Arial"/>
                <w:sz w:val="24"/>
                <w:szCs w:val="24"/>
              </w:rPr>
              <w:t>intravenously (i.v.) over 2 h on day 1, xeloda 1000 mg/m</w:t>
            </w:r>
            <w:r w:rsidRPr="00331F0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331F0D">
              <w:rPr>
                <w:rFonts w:ascii="Arial" w:hAnsi="Arial" w:cs="Arial"/>
                <w:sz w:val="24"/>
                <w:szCs w:val="24"/>
              </w:rPr>
              <w:t xml:space="preserve"> orally twice daily on days 1-14, bevacizumab 7.5mg/kg i.v. on day 1, every 3 weeks</w:t>
            </w:r>
          </w:p>
        </w:tc>
      </w:tr>
      <w:tr w:rsidR="009F722B" w:rsidRPr="00331F0D" w14:paraId="5D36308B" w14:textId="77777777" w:rsidTr="00B216AB">
        <w:tc>
          <w:tcPr>
            <w:tcW w:w="4153" w:type="dxa"/>
          </w:tcPr>
          <w:p w14:paraId="6DBBA014" w14:textId="77777777" w:rsidR="009F722B" w:rsidRPr="00331F0D" w:rsidRDefault="009F722B" w:rsidP="00B216A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1F0D">
              <w:rPr>
                <w:rFonts w:ascii="Arial" w:hAnsi="Arial" w:cs="Arial"/>
                <w:b/>
                <w:bCs/>
                <w:sz w:val="24"/>
                <w:szCs w:val="24"/>
              </w:rPr>
              <w:t>mFOLFOX6+ bevacizumab</w:t>
            </w:r>
          </w:p>
        </w:tc>
        <w:tc>
          <w:tcPr>
            <w:tcW w:w="4149" w:type="dxa"/>
          </w:tcPr>
          <w:p w14:paraId="51F91F64" w14:textId="77777777" w:rsidR="009F722B" w:rsidRPr="00331F0D" w:rsidRDefault="009F722B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1F0D">
              <w:rPr>
                <w:rFonts w:ascii="Arial" w:hAnsi="Arial" w:cs="Arial"/>
                <w:sz w:val="24"/>
                <w:szCs w:val="24"/>
              </w:rPr>
              <w:t>oxaliplatin 85mg/m</w:t>
            </w:r>
            <w:r w:rsidRPr="00331F0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331F0D">
              <w:rPr>
                <w:rFonts w:ascii="Arial" w:hAnsi="Arial" w:cs="Arial"/>
                <w:sz w:val="24"/>
                <w:szCs w:val="24"/>
              </w:rPr>
              <w:t xml:space="preserve"> i.v. on day 1, leucovorin 400 mg/m2 i.v. on day 1, 5-fluorouracil (5-FU) 400 mg/m</w:t>
            </w:r>
            <w:r w:rsidRPr="00331F0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331F0D">
              <w:rPr>
                <w:rFonts w:ascii="Arial" w:hAnsi="Arial" w:cs="Arial"/>
                <w:sz w:val="24"/>
                <w:szCs w:val="24"/>
              </w:rPr>
              <w:t xml:space="preserve"> i.v. bolus on day 1, then total 2400 mg/m</w:t>
            </w:r>
            <w:r w:rsidRPr="00331F0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331F0D">
              <w:rPr>
                <w:rFonts w:ascii="Arial" w:hAnsi="Arial" w:cs="Arial"/>
                <w:sz w:val="24"/>
                <w:szCs w:val="24"/>
              </w:rPr>
              <w:t xml:space="preserve"> over 46–48 h i.v. continuous infusion, bevacizumab 5mg/kg i.v. on day 1, every 2 weeks</w:t>
            </w:r>
          </w:p>
        </w:tc>
      </w:tr>
      <w:tr w:rsidR="009F722B" w:rsidRPr="00331F0D" w14:paraId="335810B5" w14:textId="77777777" w:rsidTr="00B216AB">
        <w:tc>
          <w:tcPr>
            <w:tcW w:w="4153" w:type="dxa"/>
          </w:tcPr>
          <w:p w14:paraId="02F12FF3" w14:textId="77777777" w:rsidR="009F722B" w:rsidRPr="00331F0D" w:rsidRDefault="009F722B" w:rsidP="00B216A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1F0D">
              <w:rPr>
                <w:rFonts w:ascii="Arial" w:hAnsi="Arial" w:cs="Arial"/>
                <w:b/>
                <w:bCs/>
                <w:sz w:val="24"/>
                <w:szCs w:val="24"/>
              </w:rPr>
              <w:t>FOLFIRI+ bevacizumab</w:t>
            </w:r>
          </w:p>
        </w:tc>
        <w:tc>
          <w:tcPr>
            <w:tcW w:w="4149" w:type="dxa"/>
          </w:tcPr>
          <w:p w14:paraId="79C91C85" w14:textId="77777777" w:rsidR="009F722B" w:rsidRPr="00331F0D" w:rsidRDefault="009F722B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1F0D">
              <w:rPr>
                <w:rFonts w:ascii="Arial" w:hAnsi="Arial" w:cs="Arial"/>
                <w:sz w:val="24"/>
                <w:szCs w:val="24"/>
              </w:rPr>
              <w:t>irinotecan 180 mg/m</w:t>
            </w:r>
            <w:r w:rsidRPr="00331F0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331F0D">
              <w:rPr>
                <w:rFonts w:ascii="Arial" w:hAnsi="Arial" w:cs="Arial"/>
                <w:sz w:val="24"/>
                <w:szCs w:val="24"/>
              </w:rPr>
              <w:t xml:space="preserve"> i.v. over 30–90 min on day 1, leucovorin 400 mg/m</w:t>
            </w:r>
            <w:r w:rsidRPr="00331F0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331F0D">
              <w:rPr>
                <w:rFonts w:ascii="Arial" w:hAnsi="Arial" w:cs="Arial"/>
                <w:sz w:val="24"/>
                <w:szCs w:val="24"/>
              </w:rPr>
              <w:t xml:space="preserve"> i.v. on day 1, 5-FU 400 mg/m</w:t>
            </w:r>
            <w:r w:rsidRPr="00331F0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331F0D">
              <w:rPr>
                <w:rFonts w:ascii="Arial" w:hAnsi="Arial" w:cs="Arial"/>
                <w:sz w:val="24"/>
                <w:szCs w:val="24"/>
              </w:rPr>
              <w:t xml:space="preserve"> i.v. bolus on day 1, then total 2400 mg/m2 over 46–48 h i.v. continuous infusion, bevacizumab 5mg/kg i.v. on day 1, every 2 weeks</w:t>
            </w:r>
          </w:p>
        </w:tc>
      </w:tr>
      <w:tr w:rsidR="009F722B" w:rsidRPr="00331F0D" w14:paraId="3FE703F6" w14:textId="77777777" w:rsidTr="00B216AB">
        <w:tc>
          <w:tcPr>
            <w:tcW w:w="4153" w:type="dxa"/>
          </w:tcPr>
          <w:p w14:paraId="5485BA02" w14:textId="77777777" w:rsidR="009F722B" w:rsidRPr="00331F0D" w:rsidRDefault="009F722B" w:rsidP="00B216A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1F0D">
              <w:rPr>
                <w:rFonts w:ascii="Arial" w:hAnsi="Arial" w:cs="Arial"/>
                <w:b/>
                <w:bCs/>
                <w:sz w:val="24"/>
                <w:szCs w:val="24"/>
              </w:rPr>
              <w:t>FOLFOXIRI+ bevacizumab</w:t>
            </w:r>
          </w:p>
        </w:tc>
        <w:tc>
          <w:tcPr>
            <w:tcW w:w="4149" w:type="dxa"/>
          </w:tcPr>
          <w:p w14:paraId="293DB8CB" w14:textId="77777777" w:rsidR="009F722B" w:rsidRPr="00331F0D" w:rsidRDefault="009F722B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1F0D">
              <w:rPr>
                <w:rFonts w:ascii="Arial" w:hAnsi="Arial" w:cs="Arial"/>
                <w:sz w:val="24"/>
                <w:szCs w:val="24"/>
              </w:rPr>
              <w:t>irinotecan 165 mg/m</w:t>
            </w:r>
            <w:r w:rsidRPr="00331F0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331F0D">
              <w:rPr>
                <w:rFonts w:ascii="Arial" w:hAnsi="Arial" w:cs="Arial"/>
                <w:sz w:val="24"/>
                <w:szCs w:val="24"/>
              </w:rPr>
              <w:t xml:space="preserve"> i.v. on day 1, oxaliplatin 85 mg/m</w:t>
            </w:r>
            <w:r w:rsidRPr="00331F0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331F0D">
              <w:rPr>
                <w:rFonts w:ascii="Arial" w:hAnsi="Arial" w:cs="Arial"/>
                <w:sz w:val="24"/>
                <w:szCs w:val="24"/>
              </w:rPr>
              <w:t xml:space="preserve"> intravenously (i.v.) on day 1, leucovorin 400 mg/m</w:t>
            </w:r>
            <w:r w:rsidRPr="00331F0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331F0D">
              <w:rPr>
                <w:rFonts w:ascii="Arial" w:hAnsi="Arial" w:cs="Arial"/>
                <w:sz w:val="24"/>
                <w:szCs w:val="24"/>
              </w:rPr>
              <w:t xml:space="preserve"> i.v. on day 1, 5-FU 400 mg/m</w:t>
            </w:r>
            <w:r w:rsidRPr="00331F0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331F0D">
              <w:rPr>
                <w:rFonts w:ascii="Arial" w:hAnsi="Arial" w:cs="Arial"/>
                <w:sz w:val="24"/>
                <w:szCs w:val="24"/>
              </w:rPr>
              <w:t xml:space="preserve"> i.v. bolus on day 1, then total 3200 mg/m2 over 46–48 h i.v. continuous infusion, bevacizumab 5mg/kg i.v. on day 1, every 2 weeks</w:t>
            </w:r>
          </w:p>
        </w:tc>
      </w:tr>
    </w:tbl>
    <w:p w14:paraId="1C8FC165" w14:textId="77777777" w:rsidR="009F722B" w:rsidRPr="00331F0D" w:rsidRDefault="009F722B" w:rsidP="009F722B">
      <w:pPr>
        <w:spacing w:line="360" w:lineRule="auto"/>
        <w:rPr>
          <w:rFonts w:ascii="Arial" w:hAnsi="Arial" w:cs="Arial"/>
          <w:sz w:val="24"/>
          <w:szCs w:val="24"/>
        </w:rPr>
      </w:pPr>
      <w:r w:rsidRPr="00331F0D">
        <w:rPr>
          <w:rFonts w:ascii="Arial" w:hAnsi="Arial" w:cs="Arial"/>
          <w:b/>
          <w:bCs/>
          <w:sz w:val="24"/>
          <w:szCs w:val="24"/>
        </w:rPr>
        <w:t>Abbreviations CapeOx:</w:t>
      </w:r>
      <w:r w:rsidRPr="00331F0D">
        <w:rPr>
          <w:sz w:val="24"/>
          <w:szCs w:val="24"/>
        </w:rPr>
        <w:t xml:space="preserve"> </w:t>
      </w:r>
      <w:r w:rsidRPr="00331F0D">
        <w:rPr>
          <w:rFonts w:ascii="Arial" w:hAnsi="Arial" w:cs="Arial"/>
          <w:sz w:val="24"/>
          <w:szCs w:val="24"/>
        </w:rPr>
        <w:t xml:space="preserve">capecitabine, oxaliplatin; </w:t>
      </w:r>
      <w:r w:rsidRPr="00331F0D">
        <w:rPr>
          <w:rFonts w:ascii="Arial" w:hAnsi="Arial" w:cs="Arial"/>
          <w:b/>
          <w:bCs/>
          <w:sz w:val="24"/>
          <w:szCs w:val="24"/>
        </w:rPr>
        <w:t>FOLFOX:</w:t>
      </w:r>
      <w:r w:rsidRPr="00331F0D">
        <w:rPr>
          <w:rFonts w:ascii="Arial" w:hAnsi="Arial" w:cs="Arial"/>
          <w:sz w:val="24"/>
          <w:szCs w:val="24"/>
        </w:rPr>
        <w:t xml:space="preserve"> folinic acid, </w:t>
      </w:r>
      <w:r w:rsidRPr="00331F0D">
        <w:rPr>
          <w:rFonts w:ascii="Arial" w:hAnsi="Arial" w:cs="Arial"/>
          <w:sz w:val="24"/>
          <w:szCs w:val="24"/>
        </w:rPr>
        <w:lastRenderedPageBreak/>
        <w:t>fluorouracil, and oxaliplatin;</w:t>
      </w:r>
      <w:r w:rsidRPr="00331F0D">
        <w:rPr>
          <w:rFonts w:ascii="Arial" w:hAnsi="Arial" w:cs="Arial"/>
          <w:b/>
          <w:bCs/>
          <w:sz w:val="24"/>
          <w:szCs w:val="24"/>
        </w:rPr>
        <w:t xml:space="preserve"> FOLFIRI</w:t>
      </w:r>
      <w:r w:rsidRPr="00331F0D">
        <w:rPr>
          <w:rFonts w:ascii="Arial" w:hAnsi="Arial" w:cs="Arial" w:hint="eastAsia"/>
          <w:b/>
          <w:bCs/>
          <w:sz w:val="24"/>
          <w:szCs w:val="24"/>
        </w:rPr>
        <w:t>:</w:t>
      </w:r>
      <w:r w:rsidRPr="00331F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331F0D">
        <w:rPr>
          <w:rFonts w:ascii="Arial" w:hAnsi="Arial" w:cs="Arial"/>
          <w:sz w:val="24"/>
          <w:szCs w:val="24"/>
        </w:rPr>
        <w:t xml:space="preserve">folinic acid, fluorouracil, and irinotecan; </w:t>
      </w:r>
      <w:r w:rsidRPr="00331F0D">
        <w:rPr>
          <w:rFonts w:ascii="Arial" w:hAnsi="Arial" w:cs="Arial"/>
          <w:b/>
          <w:bCs/>
          <w:sz w:val="24"/>
          <w:szCs w:val="24"/>
        </w:rPr>
        <w:t xml:space="preserve">FOLFOXIRI: </w:t>
      </w:r>
      <w:r w:rsidRPr="00331F0D">
        <w:rPr>
          <w:rFonts w:ascii="Arial" w:hAnsi="Arial" w:cs="Arial"/>
          <w:sz w:val="24"/>
          <w:szCs w:val="24"/>
        </w:rPr>
        <w:t>folinic acid, fluorouracil, irinotecan, and oxaliplatin</w:t>
      </w:r>
    </w:p>
    <w:p w14:paraId="51FB0F0A" w14:textId="77777777" w:rsidR="009F722B" w:rsidRPr="00331F0D" w:rsidRDefault="009F722B" w:rsidP="009F722B">
      <w:pPr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</w:p>
    <w:p w14:paraId="60599931" w14:textId="77777777" w:rsidR="00BD65D2" w:rsidRPr="009F722B" w:rsidRDefault="00BD65D2"/>
    <w:sectPr w:rsidR="00BD65D2" w:rsidRPr="009F72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28E7F" w14:textId="77777777" w:rsidR="004205C7" w:rsidRDefault="004205C7" w:rsidP="002C0BA0">
      <w:r>
        <w:separator/>
      </w:r>
    </w:p>
  </w:endnote>
  <w:endnote w:type="continuationSeparator" w:id="0">
    <w:p w14:paraId="0EC50607" w14:textId="77777777" w:rsidR="004205C7" w:rsidRDefault="004205C7" w:rsidP="002C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43A0B" w14:textId="77777777" w:rsidR="004205C7" w:rsidRDefault="004205C7" w:rsidP="002C0BA0">
      <w:r>
        <w:separator/>
      </w:r>
    </w:p>
  </w:footnote>
  <w:footnote w:type="continuationSeparator" w:id="0">
    <w:p w14:paraId="0E95746D" w14:textId="77777777" w:rsidR="004205C7" w:rsidRDefault="004205C7" w:rsidP="002C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22B"/>
    <w:rsid w:val="002C0BA0"/>
    <w:rsid w:val="004205C7"/>
    <w:rsid w:val="009F722B"/>
    <w:rsid w:val="00BD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3F8302"/>
  <w15:chartTrackingRefBased/>
  <w15:docId w15:val="{A5EABC8E-4CEB-4B31-95E7-8D975B8B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2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2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0B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C0BA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C0B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C0B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Dr.Zhou Yuwen</dc:creator>
  <cp:keywords/>
  <dc:description/>
  <cp:lastModifiedBy>Dr.Zhou Yuwen</cp:lastModifiedBy>
  <cp:revision>2</cp:revision>
  <dcterms:created xsi:type="dcterms:W3CDTF">2020-09-17T02:19:00Z</dcterms:created>
  <dcterms:modified xsi:type="dcterms:W3CDTF">2022-01-04T09:28:00Z</dcterms:modified>
</cp:coreProperties>
</file>