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1D72AE" w14:textId="44BC2E09" w:rsidR="007E172C" w:rsidRDefault="007E172C" w:rsidP="007E172C">
      <w:pPr>
        <w:pStyle w:val="Heading1"/>
      </w:pPr>
      <w:r>
        <w:t>Appendix 3 – Cost-effectiveness model</w:t>
      </w:r>
    </w:p>
    <w:p w14:paraId="13C55302" w14:textId="35D043D0" w:rsidR="007E172C" w:rsidRDefault="007E172C" w:rsidP="007E172C">
      <w:pPr>
        <w:rPr>
          <w:rFonts w:cs="Times New Roman"/>
          <w:lang w:val="en-IE"/>
        </w:rPr>
      </w:pPr>
      <w:proofErr w:type="gramStart"/>
      <w:r>
        <w:rPr>
          <w:rFonts w:cs="Times New Roman"/>
          <w:lang w:val="en-IE"/>
        </w:rPr>
        <w:t>For the purpose of</w:t>
      </w:r>
      <w:proofErr w:type="gramEnd"/>
      <w:r>
        <w:rPr>
          <w:rFonts w:cs="Times New Roman"/>
          <w:lang w:val="en-IE"/>
        </w:rPr>
        <w:t xml:space="preserve"> illustrating how applying QBA methods within the context of a CEM can reduce uncertainty in the model outputs, a stylised </w:t>
      </w:r>
      <w:r w:rsidRPr="5C518E58">
        <w:rPr>
          <w:rFonts w:cs="Times New Roman"/>
          <w:lang w:val="en-IE"/>
        </w:rPr>
        <w:t>CE</w:t>
      </w:r>
      <w:r>
        <w:rPr>
          <w:rFonts w:cs="Times New Roman"/>
          <w:lang w:val="en-IE"/>
        </w:rPr>
        <w:t>M was developed. This stylised example was</w:t>
      </w:r>
      <w:r w:rsidRPr="00C07A4B">
        <w:rPr>
          <w:rFonts w:cs="Times New Roman"/>
          <w:lang w:val="en-IE"/>
        </w:rPr>
        <w:t xml:space="preserve"> based on a real case study of a</w:t>
      </w:r>
      <w:r>
        <w:rPr>
          <w:rFonts w:cs="Times New Roman"/>
          <w:lang w:val="en-IE"/>
        </w:rPr>
        <w:t>n immunotherapeutic agent</w:t>
      </w:r>
      <w:r w:rsidRPr="00C07A4B">
        <w:rPr>
          <w:rFonts w:cs="Times New Roman"/>
          <w:lang w:val="en-IE"/>
        </w:rPr>
        <w:t xml:space="preserve"> in lung cancer, for which the</w:t>
      </w:r>
      <w:r>
        <w:rPr>
          <w:rFonts w:cs="Times New Roman"/>
          <w:lang w:val="en-IE"/>
        </w:rPr>
        <w:t xml:space="preserve"> CEM </w:t>
      </w:r>
      <w:r w:rsidRPr="00C07A4B">
        <w:rPr>
          <w:rFonts w:cs="Times New Roman"/>
          <w:lang w:val="en-IE"/>
        </w:rPr>
        <w:t>has been substantially simplified</w:t>
      </w:r>
      <w:r>
        <w:rPr>
          <w:rFonts w:cs="Times New Roman"/>
          <w:lang w:val="en-IE"/>
        </w:rPr>
        <w:t xml:space="preserve">, and comparators were anonymised. In this section we report the methods and parameter values utilised to develop the CEM. </w:t>
      </w:r>
    </w:p>
    <w:p w14:paraId="140E2662" w14:textId="77777777" w:rsidR="007E172C" w:rsidRDefault="007E172C" w:rsidP="007E172C">
      <w:pPr>
        <w:pStyle w:val="Heading2"/>
        <w:rPr>
          <w:lang w:val="en-IE"/>
        </w:rPr>
      </w:pPr>
      <w:r>
        <w:rPr>
          <w:lang w:val="en-IE"/>
        </w:rPr>
        <w:t>Model structure</w:t>
      </w:r>
    </w:p>
    <w:p w14:paraId="7DE328FB" w14:textId="06A81A47" w:rsidR="007E172C" w:rsidRPr="00FD79F0" w:rsidRDefault="007E172C" w:rsidP="007E172C">
      <w:r>
        <w:t xml:space="preserve">A </w:t>
      </w:r>
      <w:r w:rsidRPr="5C518E58">
        <w:rPr>
          <w:rFonts w:cs="Times New Roman"/>
          <w:lang w:val="en-IE"/>
        </w:rPr>
        <w:t>three-state-</w:t>
      </w:r>
      <w:proofErr w:type="spellStart"/>
      <w:r>
        <w:rPr>
          <w:rFonts w:cs="Times New Roman"/>
          <w:lang w:val="en-IE"/>
        </w:rPr>
        <w:t>PartSA</w:t>
      </w:r>
      <w:proofErr w:type="spellEnd"/>
      <w:r>
        <w:rPr>
          <w:rFonts w:cs="Times New Roman"/>
          <w:lang w:val="en-IE"/>
        </w:rPr>
        <w:t xml:space="preserve"> </w:t>
      </w:r>
      <w:r>
        <w:t>was</w:t>
      </w:r>
      <w:r w:rsidRPr="00FD79F0">
        <w:t xml:space="preserve"> </w:t>
      </w:r>
      <w:r>
        <w:t>constructed</w:t>
      </w:r>
      <w:r w:rsidRPr="00FD79F0">
        <w:t xml:space="preserve"> in Microsoft Excel</w:t>
      </w:r>
      <w:r w:rsidRPr="00B72EE5">
        <w:rPr>
          <w:vertAlign w:val="superscript"/>
        </w:rPr>
        <w:t>®</w:t>
      </w:r>
      <w:r>
        <w:t xml:space="preserve">, following a typical approach used </w:t>
      </w:r>
      <w:r w:rsidRPr="00FD79F0">
        <w:t xml:space="preserve">in </w:t>
      </w:r>
      <w:r w:rsidRPr="000D210A">
        <w:t>modelling</w:t>
      </w:r>
      <w:r w:rsidRPr="00FD79F0">
        <w:t xml:space="preserve"> </w:t>
      </w:r>
      <w:r>
        <w:t xml:space="preserve">of </w:t>
      </w:r>
      <w:r w:rsidRPr="00FD79F0">
        <w:t>metastatic cancers</w:t>
      </w:r>
      <w:r>
        <w:t>.</w:t>
      </w:r>
      <w:r w:rsidRPr="00FD79F0">
        <w:t xml:space="preserve"> In</w:t>
      </w:r>
      <w:r>
        <w:t xml:space="preserve"> this model</w:t>
      </w:r>
      <w:r w:rsidRPr="00FD79F0">
        <w:t xml:space="preserve">, the number of patients in each health state at any time is determined directly from the underlying survival curves. An overview of the structure of the model is presented in </w:t>
      </w:r>
      <w:r>
        <w:rPr>
          <w:highlight w:val="yellow"/>
        </w:rPr>
        <w:fldChar w:fldCharType="begin"/>
      </w:r>
      <w:r>
        <w:instrText xml:space="preserve"> REF _Ref71739278 \h </w:instrText>
      </w:r>
      <w:r>
        <w:rPr>
          <w:highlight w:val="yellow"/>
        </w:rPr>
        <w:instrText xml:space="preserve"> \* MERGEFORMAT </w:instrText>
      </w:r>
      <w:r>
        <w:rPr>
          <w:highlight w:val="yellow"/>
        </w:rPr>
      </w:r>
      <w:r>
        <w:rPr>
          <w:highlight w:val="yellow"/>
        </w:rPr>
        <w:fldChar w:fldCharType="separate"/>
      </w:r>
      <w:r>
        <w:t xml:space="preserve">Figure </w:t>
      </w:r>
      <w:r>
        <w:rPr>
          <w:noProof/>
        </w:rPr>
        <w:t>1</w:t>
      </w:r>
      <w:r>
        <w:rPr>
          <w:highlight w:val="yellow"/>
        </w:rPr>
        <w:fldChar w:fldCharType="end"/>
      </w:r>
      <w:r>
        <w:t xml:space="preserve"> </w:t>
      </w:r>
      <w:r w:rsidRPr="00FD79F0">
        <w:t>below.</w:t>
      </w:r>
    </w:p>
    <w:p w14:paraId="4944BAD5" w14:textId="77777777" w:rsidR="007E172C" w:rsidRPr="00293B9D" w:rsidRDefault="007E172C" w:rsidP="007E172C">
      <w:pPr>
        <w:ind w:left="142"/>
        <w:rPr>
          <w:rFonts w:ascii="Arial" w:eastAsia="Arial" w:hAnsi="Arial" w:cs="Arial"/>
          <w:sz w:val="18"/>
          <w:szCs w:val="18"/>
        </w:rPr>
      </w:pPr>
      <w:r>
        <w:rPr>
          <w:rFonts w:ascii="Arial" w:eastAsia="Arial" w:hAnsi="Arial" w:cs="Arial"/>
          <w:noProof/>
          <w:spacing w:val="-3"/>
          <w:sz w:val="21"/>
          <w:szCs w:val="21"/>
        </w:rPr>
        <w:drawing>
          <wp:inline distT="0" distB="0" distL="0" distR="0" wp14:anchorId="30486F72" wp14:editId="65E82E65">
            <wp:extent cx="4833676" cy="3619500"/>
            <wp:effectExtent l="0" t="0" r="0" b="0"/>
            <wp:docPr id="10" name="Picture 10" descr="Graphical user interfac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Graphical user interface, diagram&#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37073" cy="3622044"/>
                    </a:xfrm>
                    <a:prstGeom prst="rect">
                      <a:avLst/>
                    </a:prstGeom>
                    <a:noFill/>
                  </pic:spPr>
                </pic:pic>
              </a:graphicData>
            </a:graphic>
          </wp:inline>
        </w:drawing>
      </w:r>
    </w:p>
    <w:p w14:paraId="263C9BA2" w14:textId="77777777" w:rsidR="007E172C" w:rsidRDefault="007E172C" w:rsidP="007E172C">
      <w:pPr>
        <w:pStyle w:val="Caption"/>
        <w:ind w:left="142"/>
      </w:pPr>
      <w:bookmarkStart w:id="0" w:name="_Ref71739278"/>
      <w:bookmarkStart w:id="1" w:name="_Toc453947269"/>
      <w:bookmarkStart w:id="2" w:name="_Toc73037297"/>
      <w:r>
        <w:t xml:space="preserve">Figure </w:t>
      </w:r>
      <w:r>
        <w:fldChar w:fldCharType="begin"/>
      </w:r>
      <w:r>
        <w:instrText xml:space="preserve"> SEQ Figure \* ARABIC </w:instrText>
      </w:r>
      <w:r>
        <w:fldChar w:fldCharType="separate"/>
      </w:r>
      <w:r>
        <w:rPr>
          <w:noProof/>
        </w:rPr>
        <w:t>1</w:t>
      </w:r>
      <w:r>
        <w:rPr>
          <w:noProof/>
        </w:rPr>
        <w:fldChar w:fldCharType="end"/>
      </w:r>
      <w:bookmarkEnd w:id="0"/>
      <w:r>
        <w:t>. Model Structure</w:t>
      </w:r>
      <w:bookmarkEnd w:id="1"/>
      <w:bookmarkEnd w:id="2"/>
    </w:p>
    <w:p w14:paraId="6CC063F4" w14:textId="77777777" w:rsidR="007E172C" w:rsidRDefault="007E172C" w:rsidP="007E172C">
      <w:pPr>
        <w:spacing w:line="200" w:lineRule="exact"/>
        <w:ind w:left="120"/>
      </w:pPr>
    </w:p>
    <w:p w14:paraId="2BC77B08" w14:textId="77777777" w:rsidR="007E172C" w:rsidRPr="003E479B" w:rsidRDefault="007E172C" w:rsidP="00EB44B1">
      <w:r w:rsidRPr="003E479B">
        <w:t xml:space="preserve">The model allows to capture the progressive nature </w:t>
      </w:r>
      <w:r>
        <w:t xml:space="preserve">of lung cancer </w:t>
      </w:r>
      <w:r w:rsidRPr="003E479B">
        <w:t>for the relevant patient population</w:t>
      </w:r>
      <w:r>
        <w:t xml:space="preserve"> and is </w:t>
      </w:r>
      <w:r w:rsidRPr="003E479B">
        <w:t xml:space="preserve">in line with the clinical treatment paradigm </w:t>
      </w:r>
      <w:r>
        <w:t xml:space="preserve">in the population of interest </w:t>
      </w:r>
      <w:r w:rsidRPr="003E479B">
        <w:t>– whereby patients receive therapy with the aim of preventing disease progression.</w:t>
      </w:r>
    </w:p>
    <w:p w14:paraId="1EC7B142" w14:textId="3FD35847" w:rsidR="007E172C" w:rsidRPr="00513CF2" w:rsidRDefault="007E172C" w:rsidP="007E172C">
      <w:r>
        <w:t>The model is described by t</w:t>
      </w:r>
      <w:r w:rsidRPr="003E479B">
        <w:t>hree mutually exclusive health</w:t>
      </w:r>
      <w:r>
        <w:t xml:space="preserve"> states</w:t>
      </w:r>
      <w:r w:rsidRPr="003E479B">
        <w:t>: (i) pre-progression state; (ii) progressed disease (PD); and (iii) death</w:t>
      </w:r>
      <w:r>
        <w:t xml:space="preserve"> </w:t>
      </w:r>
      <w:r w:rsidRPr="003E479B">
        <w:t>(</w:t>
      </w:r>
      <w:r w:rsidRPr="003E479B">
        <w:fldChar w:fldCharType="begin"/>
      </w:r>
      <w:r w:rsidRPr="003E479B">
        <w:instrText xml:space="preserve"> REF _Ref71739278 \h  \* MERGEFORMAT </w:instrText>
      </w:r>
      <w:r w:rsidRPr="003E479B">
        <w:fldChar w:fldCharType="separate"/>
      </w:r>
      <w:r>
        <w:t>Figure 1</w:t>
      </w:r>
      <w:r w:rsidRPr="003E479B">
        <w:fldChar w:fldCharType="end"/>
      </w:r>
      <w:r w:rsidRPr="003E479B">
        <w:t xml:space="preserve">). In this </w:t>
      </w:r>
      <w:proofErr w:type="spellStart"/>
      <w:r w:rsidRPr="003E479B">
        <w:t>PartSM</w:t>
      </w:r>
      <w:proofErr w:type="spellEnd"/>
      <w:r w:rsidRPr="003E479B">
        <w:t>, survival functions are used to</w:t>
      </w:r>
      <w:r>
        <w:t xml:space="preserve"> estimate the health state occupancy </w:t>
      </w:r>
      <w:r w:rsidRPr="003E479B">
        <w:t>cycle-by-cycle</w:t>
      </w:r>
      <w:r>
        <w:t xml:space="preserve"> by accounting for transitions of </w:t>
      </w:r>
      <w:r w:rsidRPr="003E479B">
        <w:t xml:space="preserve">(i) patients moving from </w:t>
      </w:r>
      <w:r>
        <w:t xml:space="preserve">pre-progression </w:t>
      </w:r>
      <w:r w:rsidRPr="003E479B">
        <w:t xml:space="preserve">to </w:t>
      </w:r>
      <w:r>
        <w:t>progressed disease</w:t>
      </w:r>
      <w:r w:rsidRPr="003E479B">
        <w:t xml:space="preserve">, and (ii) </w:t>
      </w:r>
      <w:r>
        <w:t xml:space="preserve">from pre-progression </w:t>
      </w:r>
      <w:r w:rsidRPr="003E479B">
        <w:t xml:space="preserve">or </w:t>
      </w:r>
      <w:r>
        <w:t>progressed disease</w:t>
      </w:r>
      <w:r w:rsidRPr="003E479B">
        <w:t xml:space="preserve"> to death. </w:t>
      </w:r>
      <w:r>
        <w:t xml:space="preserve">Transitions were assumed to occur on a monthly model cycle. The </w:t>
      </w:r>
      <w:r w:rsidRPr="003E479B">
        <w:t xml:space="preserve">proportion of patients within each health state is </w:t>
      </w:r>
      <w:r>
        <w:t xml:space="preserve">estimated directly </w:t>
      </w:r>
      <w:r w:rsidRPr="003E479B">
        <w:t xml:space="preserve">based on the PFS and OS survival curves, with the proportion of patients in the </w:t>
      </w:r>
      <w:r>
        <w:t>progressed-disease</w:t>
      </w:r>
      <w:r w:rsidRPr="003E479B">
        <w:t xml:space="preserve"> health state represented by the difference between PFS and OS curves</w:t>
      </w:r>
      <w:r>
        <w:t>.</w:t>
      </w:r>
    </w:p>
    <w:p w14:paraId="6DE7F229" w14:textId="77777777" w:rsidR="007E172C" w:rsidRDefault="007E172C" w:rsidP="007E172C">
      <w:pPr>
        <w:rPr>
          <w:rFonts w:ascii="Arial" w:eastAsia="Arial" w:hAnsi="Arial" w:cs="Arial"/>
          <w:spacing w:val="-3"/>
          <w:sz w:val="21"/>
          <w:szCs w:val="21"/>
        </w:rPr>
      </w:pPr>
    </w:p>
    <w:p w14:paraId="76421025" w14:textId="77777777" w:rsidR="007E172C" w:rsidRDefault="007E172C" w:rsidP="007E172C">
      <w:pPr>
        <w:rPr>
          <w:rFonts w:ascii="Arial" w:eastAsia="Arial" w:hAnsi="Arial" w:cs="Arial"/>
          <w:sz w:val="21"/>
          <w:szCs w:val="21"/>
        </w:rPr>
      </w:pPr>
    </w:p>
    <w:p w14:paraId="5F724204" w14:textId="77777777" w:rsidR="007E172C" w:rsidRPr="00FD79F0" w:rsidRDefault="007E172C" w:rsidP="007E172C">
      <w:r w:rsidRPr="00FD79F0">
        <w:lastRenderedPageBreak/>
        <w:t xml:space="preserve">All patients start in the </w:t>
      </w:r>
      <w:r>
        <w:t xml:space="preserve">pre-progression </w:t>
      </w:r>
      <w:r w:rsidRPr="00FD79F0">
        <w:t>health state</w:t>
      </w:r>
      <w:r>
        <w:t>, and t</w:t>
      </w:r>
      <w:r w:rsidRPr="00FD79F0">
        <w:t>hey remain in this state until their disease either progresses or</w:t>
      </w:r>
      <w:r>
        <w:t xml:space="preserve"> they</w:t>
      </w:r>
      <w:r w:rsidRPr="00FD79F0">
        <w:t xml:space="preserve"> experience death. Following disease progression, patients remain in the </w:t>
      </w:r>
      <w:r>
        <w:t xml:space="preserve">PD </w:t>
      </w:r>
      <w:r w:rsidRPr="00FD79F0">
        <w:t>health state until death</w:t>
      </w:r>
      <w:r>
        <w:t xml:space="preserve">, which is considered the absorbing state. </w:t>
      </w:r>
    </w:p>
    <w:p w14:paraId="3D5B86EB" w14:textId="77777777" w:rsidR="007E172C" w:rsidRDefault="007E172C" w:rsidP="007E172C">
      <w:r>
        <w:t>Patients within the pre-progressed state continue to be on treatment, until they move to the progressed state or the state of death.</w:t>
      </w:r>
    </w:p>
    <w:p w14:paraId="7B53BBAF" w14:textId="77777777" w:rsidR="007E172C" w:rsidRDefault="007E172C" w:rsidP="007E172C">
      <w:pPr>
        <w:pStyle w:val="Heading2"/>
        <w:rPr>
          <w:lang w:val="en-IE"/>
        </w:rPr>
      </w:pPr>
      <w:r>
        <w:rPr>
          <w:lang w:val="en-IE"/>
        </w:rPr>
        <w:t>Population</w:t>
      </w:r>
    </w:p>
    <w:p w14:paraId="5654325E" w14:textId="77777777" w:rsidR="007E172C" w:rsidRDefault="007E172C" w:rsidP="007E172C">
      <w:pPr>
        <w:rPr>
          <w:lang w:val="en-IE"/>
        </w:rPr>
      </w:pPr>
      <w:r>
        <w:rPr>
          <w:lang w:val="en-IE"/>
        </w:rPr>
        <w:t xml:space="preserve">The population of interest in this model based economic analysis consists of patients with </w:t>
      </w:r>
      <w:r>
        <w:t>a rare genetic subtype of lung</w:t>
      </w:r>
      <w:r>
        <w:rPr>
          <w:lang w:val="en-IE"/>
        </w:rPr>
        <w:t xml:space="preserve"> cancer, who were refractory or relapsed following first line of treatment. Patients were assumed to have a starting age of 52.3 years. </w:t>
      </w:r>
    </w:p>
    <w:p w14:paraId="771D1B7C" w14:textId="77777777" w:rsidR="007E172C" w:rsidRDefault="007E172C" w:rsidP="007E172C">
      <w:pPr>
        <w:pStyle w:val="Heading2"/>
        <w:rPr>
          <w:lang w:val="en-IE"/>
        </w:rPr>
      </w:pPr>
      <w:r>
        <w:rPr>
          <w:lang w:val="en-IE"/>
        </w:rPr>
        <w:t>Intervention &amp; comparator</w:t>
      </w:r>
    </w:p>
    <w:p w14:paraId="32B44DFF" w14:textId="77777777" w:rsidR="007E172C" w:rsidRPr="00045CAC" w:rsidRDefault="007E172C" w:rsidP="007E172C">
      <w:pPr>
        <w:rPr>
          <w:lang w:val="en-IE"/>
        </w:rPr>
      </w:pPr>
      <w:r w:rsidRPr="00045CAC">
        <w:rPr>
          <w:lang w:val="en-IE"/>
        </w:rPr>
        <w:t xml:space="preserve">The </w:t>
      </w:r>
      <w:r>
        <w:rPr>
          <w:lang w:val="en-IE"/>
        </w:rPr>
        <w:t xml:space="preserve">treatment </w:t>
      </w:r>
      <w:r w:rsidRPr="00045CAC">
        <w:rPr>
          <w:lang w:val="en-IE"/>
        </w:rPr>
        <w:t xml:space="preserve">assessed in this </w:t>
      </w:r>
      <w:r>
        <w:rPr>
          <w:lang w:val="en-IE"/>
        </w:rPr>
        <w:t xml:space="preserve">modelling application </w:t>
      </w:r>
      <w:r w:rsidRPr="00045CAC">
        <w:rPr>
          <w:lang w:val="en-IE"/>
        </w:rPr>
        <w:t>is</w:t>
      </w:r>
      <w:r>
        <w:rPr>
          <w:lang w:val="en-IE"/>
        </w:rPr>
        <w:t xml:space="preserve"> </w:t>
      </w:r>
      <w:r w:rsidRPr="00C07A4B">
        <w:rPr>
          <w:lang w:val="en-IE"/>
        </w:rPr>
        <w:t>a</w:t>
      </w:r>
      <w:r>
        <w:rPr>
          <w:lang w:val="en-IE"/>
        </w:rPr>
        <w:t xml:space="preserve"> novel immunotherapeutic agent</w:t>
      </w:r>
      <w:r w:rsidRPr="00C07A4B">
        <w:rPr>
          <w:lang w:val="en-IE"/>
        </w:rPr>
        <w:t xml:space="preserve"> in lung cancer</w:t>
      </w:r>
      <w:r>
        <w:rPr>
          <w:lang w:val="en-IE"/>
        </w:rPr>
        <w:t>, compared with another pharmaceutical agent that constitutes standard of care (SoC) for the patient population of interest.</w:t>
      </w:r>
    </w:p>
    <w:p w14:paraId="4A21037B" w14:textId="77777777" w:rsidR="007E172C" w:rsidRPr="00D961AB" w:rsidRDefault="007E172C" w:rsidP="007E172C">
      <w:pPr>
        <w:rPr>
          <w:lang w:val="en-IE"/>
        </w:rPr>
      </w:pPr>
      <w:r>
        <w:rPr>
          <w:lang w:val="en-IE"/>
        </w:rPr>
        <w:t xml:space="preserve">Within the model, </w:t>
      </w:r>
      <w:r w:rsidRPr="00045CAC">
        <w:rPr>
          <w:lang w:val="en-IE"/>
        </w:rPr>
        <w:t xml:space="preserve">treatment </w:t>
      </w:r>
      <w:r>
        <w:rPr>
          <w:lang w:val="en-IE"/>
        </w:rPr>
        <w:t>was assumed to be continued</w:t>
      </w:r>
      <w:r w:rsidRPr="00045CAC">
        <w:rPr>
          <w:lang w:val="en-IE"/>
        </w:rPr>
        <w:t xml:space="preserve"> until disease progression, in line </w:t>
      </w:r>
      <w:r>
        <w:rPr>
          <w:lang w:val="en-IE"/>
        </w:rPr>
        <w:t xml:space="preserve">with both agents’ </w:t>
      </w:r>
      <w:r w:rsidRPr="00045CAC">
        <w:rPr>
          <w:lang w:val="en-IE"/>
        </w:rPr>
        <w:t xml:space="preserve">marketing authorisation. </w:t>
      </w:r>
      <w:r>
        <w:rPr>
          <w:lang w:val="en-IE"/>
        </w:rPr>
        <w:t>Following progression, termination of active treatment with no subsequent lines of pharmacological treatment was assumed.</w:t>
      </w:r>
    </w:p>
    <w:p w14:paraId="6F8F6956" w14:textId="77777777" w:rsidR="007E172C" w:rsidRDefault="007E172C" w:rsidP="007E172C">
      <w:pPr>
        <w:pStyle w:val="Heading2"/>
        <w:rPr>
          <w:lang w:val="en-GB"/>
        </w:rPr>
      </w:pPr>
      <w:bookmarkStart w:id="3" w:name="_Toc73037270"/>
      <w:r>
        <w:rPr>
          <w:lang w:val="en-GB"/>
        </w:rPr>
        <w:t>Time horizon</w:t>
      </w:r>
      <w:bookmarkEnd w:id="3"/>
      <w:r>
        <w:rPr>
          <w:lang w:val="en-GB"/>
        </w:rPr>
        <w:t xml:space="preserve"> </w:t>
      </w:r>
    </w:p>
    <w:p w14:paraId="6BC8F868" w14:textId="163A1DDC" w:rsidR="007E172C" w:rsidRDefault="007E172C" w:rsidP="007E172C">
      <w:r>
        <w:t xml:space="preserve">A time horizon of 10 years was used for this analysis. </w:t>
      </w:r>
      <w:r>
        <w:rPr>
          <w:lang w:val="en-GB"/>
        </w:rPr>
        <w:t xml:space="preserve">This time horizon </w:t>
      </w:r>
      <w:r>
        <w:t>was selected as</w:t>
      </w:r>
      <w:r>
        <w:rPr>
          <w:lang w:val="en-GB"/>
        </w:rPr>
        <w:t xml:space="preserve"> most treated patients </w:t>
      </w:r>
      <w:r>
        <w:t xml:space="preserve">were expected to be dead by the end of this </w:t>
      </w:r>
      <w:proofErr w:type="gramStart"/>
      <w:r>
        <w:rPr>
          <w:lang w:val="en-GB"/>
        </w:rPr>
        <w:t>time period</w:t>
      </w:r>
      <w:proofErr w:type="gramEnd"/>
      <w:r>
        <w:rPr>
          <w:lang w:val="en-GB"/>
        </w:rPr>
        <w:t xml:space="preserve">, and it therefore allowed all differences in costs and outcomes, between the intervention and the comparator, to be captured within the timeframe of the analysis. </w:t>
      </w:r>
    </w:p>
    <w:p w14:paraId="17EEAAD7" w14:textId="77777777" w:rsidR="007E172C" w:rsidRDefault="007E172C" w:rsidP="007E172C">
      <w:pPr>
        <w:pStyle w:val="Heading2"/>
        <w:rPr>
          <w:lang w:val="en-IE"/>
        </w:rPr>
      </w:pPr>
      <w:r>
        <w:rPr>
          <w:lang w:val="en-IE"/>
        </w:rPr>
        <w:t>Perspective</w:t>
      </w:r>
    </w:p>
    <w:p w14:paraId="3A1CB3BA" w14:textId="4E983FF0" w:rsidR="007E172C" w:rsidRDefault="007E172C" w:rsidP="007E172C">
      <w:r>
        <w:t>T</w:t>
      </w:r>
      <w:r w:rsidRPr="00F01E17">
        <w:t>he analysis focus</w:t>
      </w:r>
      <w:r>
        <w:t>ed</w:t>
      </w:r>
      <w:r w:rsidRPr="00F01E17">
        <w:t xml:space="preserve"> on estimating the </w:t>
      </w:r>
      <w:r>
        <w:t xml:space="preserve">clinical and economic burden </w:t>
      </w:r>
      <w:r w:rsidRPr="00F01E17">
        <w:t>associated with</w:t>
      </w:r>
      <w:r>
        <w:t xml:space="preserve"> the treatment of a specific genetic subtype of lung</w:t>
      </w:r>
      <w:r>
        <w:rPr>
          <w:lang w:val="en-IE"/>
        </w:rPr>
        <w:t xml:space="preserve"> cancer, from the perspective of the UK National Health Service (NHS)</w:t>
      </w:r>
      <w:r w:rsidRPr="00F01E17">
        <w:t xml:space="preserve">, comparing </w:t>
      </w:r>
      <w:r>
        <w:t xml:space="preserve">SoC </w:t>
      </w:r>
      <w:r w:rsidRPr="00F01E17">
        <w:t xml:space="preserve">to a scenario in which </w:t>
      </w:r>
      <w:r>
        <w:t xml:space="preserve">the novel pharmaceutical agent </w:t>
      </w:r>
      <w:r w:rsidRPr="00F01E17">
        <w:t>is reimbursed for the treatment o</w:t>
      </w:r>
      <w:r>
        <w:t>f this patient population</w:t>
      </w:r>
      <w:r w:rsidRPr="00F01E17">
        <w:t>.</w:t>
      </w:r>
      <w:r>
        <w:t xml:space="preserve"> Since the analysis took a UK NHS perspective, a cost-effectiveness threshold </w:t>
      </w:r>
      <w:r w:rsidRPr="007E172C">
        <w:t>of £30,000/QALY</w:t>
      </w:r>
      <w:r>
        <w:t xml:space="preserve"> was used as a decision rule. </w:t>
      </w:r>
    </w:p>
    <w:p w14:paraId="7A27B431" w14:textId="77777777" w:rsidR="007E172C" w:rsidRPr="00CF728A" w:rsidRDefault="007E172C" w:rsidP="007E172C">
      <w:pPr>
        <w:pStyle w:val="Heading2"/>
        <w:rPr>
          <w:lang w:val="en-GB"/>
        </w:rPr>
      </w:pPr>
      <w:r w:rsidRPr="007E172C">
        <w:rPr>
          <w:lang w:val="en-IE"/>
        </w:rPr>
        <w:t>Discounting</w:t>
      </w:r>
    </w:p>
    <w:p w14:paraId="6038C2E5" w14:textId="77777777" w:rsidR="007E172C" w:rsidRDefault="007E172C" w:rsidP="007E172C">
      <w:pPr>
        <w:rPr>
          <w:lang w:val="en-IE"/>
        </w:rPr>
      </w:pPr>
      <w:r>
        <w:rPr>
          <w:lang w:val="en-IE"/>
        </w:rPr>
        <w:t xml:space="preserve">A discount rate of 3.5% was applied to both costs and QALYs. </w:t>
      </w:r>
    </w:p>
    <w:p w14:paraId="7C99B835" w14:textId="77777777" w:rsidR="007E172C" w:rsidRDefault="007E172C" w:rsidP="007E172C">
      <w:pPr>
        <w:pStyle w:val="Heading2"/>
      </w:pPr>
      <w:r>
        <w:t xml:space="preserve">Clinical effectiveness </w:t>
      </w:r>
    </w:p>
    <w:p w14:paraId="303CD479" w14:textId="41D9AAD0" w:rsidR="007E172C" w:rsidRDefault="007E172C" w:rsidP="007E172C">
      <w:pPr>
        <w:rPr>
          <w:rFonts w:cs="Times New Roman"/>
          <w:szCs w:val="20"/>
          <w:lang w:val="en-IE"/>
        </w:rPr>
      </w:pPr>
      <w:r w:rsidRPr="007E172C">
        <w:rPr>
          <w:rFonts w:cs="Times New Roman"/>
          <w:szCs w:val="20"/>
          <w:lang w:val="en-IE"/>
        </w:rPr>
        <w:t xml:space="preserve">Proportional hazards parametric survival curves were fitted to simulated time-to-event data so that </w:t>
      </w:r>
      <w:r>
        <w:rPr>
          <w:rFonts w:cs="Times New Roman"/>
          <w:szCs w:val="20"/>
          <w:lang w:val="en-IE"/>
        </w:rPr>
        <w:t>information</w:t>
      </w:r>
      <w:r w:rsidRPr="00EB44B1">
        <w:rPr>
          <w:rFonts w:cs="Times New Roman"/>
          <w:szCs w:val="20"/>
          <w:lang w:val="en-IE"/>
        </w:rPr>
        <w:t xml:space="preserve"> within the</w:t>
      </w:r>
      <w:r>
        <w:rPr>
          <w:rFonts w:cs="Times New Roman"/>
          <w:szCs w:val="20"/>
          <w:lang w:val="en-IE"/>
        </w:rPr>
        <w:t xml:space="preserve"> PFS and OS</w:t>
      </w:r>
      <w:r w:rsidRPr="00EB44B1">
        <w:rPr>
          <w:rFonts w:cs="Times New Roman"/>
          <w:szCs w:val="20"/>
          <w:lang w:val="en-IE"/>
        </w:rPr>
        <w:t xml:space="preserve"> survival curves could </w:t>
      </w:r>
      <w:r>
        <w:rPr>
          <w:rFonts w:cs="Times New Roman"/>
          <w:szCs w:val="20"/>
          <w:lang w:val="en-IE"/>
        </w:rPr>
        <w:t xml:space="preserve">be </w:t>
      </w:r>
      <w:r w:rsidRPr="00EB44B1">
        <w:rPr>
          <w:rFonts w:cs="Times New Roman"/>
          <w:szCs w:val="20"/>
          <w:lang w:val="en-IE"/>
        </w:rPr>
        <w:t xml:space="preserve">extrapolated for use within the CEM. The exponential, Weibull PH (proportional hazards parametrisation), and </w:t>
      </w:r>
      <w:proofErr w:type="spellStart"/>
      <w:r w:rsidRPr="00EB44B1">
        <w:rPr>
          <w:rFonts w:cs="Times New Roman"/>
          <w:szCs w:val="20"/>
          <w:lang w:val="en-IE"/>
        </w:rPr>
        <w:t>Gompertz</w:t>
      </w:r>
      <w:proofErr w:type="spellEnd"/>
      <w:r w:rsidRPr="00EB44B1">
        <w:rPr>
          <w:rFonts w:cs="Times New Roman"/>
          <w:szCs w:val="20"/>
          <w:lang w:val="en-IE"/>
        </w:rPr>
        <w:t xml:space="preserve"> distributions were fit to the data and the best fitting model was used in the CEM.</w:t>
      </w:r>
      <w:r>
        <w:rPr>
          <w:rFonts w:cs="Times New Roman"/>
          <w:szCs w:val="20"/>
          <w:lang w:val="en-IE"/>
        </w:rPr>
        <w:t xml:space="preserve"> </w:t>
      </w:r>
    </w:p>
    <w:p w14:paraId="28AFEC51" w14:textId="2D7FF470" w:rsidR="007E172C" w:rsidRDefault="007E172C" w:rsidP="007E172C">
      <w:pPr>
        <w:rPr>
          <w:rFonts w:cs="Times New Roman"/>
          <w:szCs w:val="20"/>
          <w:lang w:val="en-IE"/>
        </w:rPr>
      </w:pPr>
      <w:r>
        <w:rPr>
          <w:rFonts w:cs="Times New Roman"/>
          <w:szCs w:val="20"/>
          <w:lang w:val="en-IE"/>
        </w:rPr>
        <w:t xml:space="preserve">Baseline hazard functions for the PFS and OS were estimated for the comparator. These </w:t>
      </w:r>
      <w:r w:rsidRPr="00B53BDA">
        <w:rPr>
          <w:rFonts w:cs="Times New Roman"/>
          <w:szCs w:val="20"/>
          <w:lang w:val="en-IE"/>
        </w:rPr>
        <w:t>baseline hazard function</w:t>
      </w:r>
      <w:r>
        <w:rPr>
          <w:rFonts w:cs="Times New Roman"/>
          <w:szCs w:val="20"/>
          <w:lang w:val="en-IE"/>
        </w:rPr>
        <w:t>s</w:t>
      </w:r>
      <w:r w:rsidRPr="00B53BDA">
        <w:rPr>
          <w:rFonts w:cs="Times New Roman"/>
          <w:szCs w:val="20"/>
          <w:lang w:val="en-IE"/>
        </w:rPr>
        <w:t xml:space="preserve"> provide</w:t>
      </w:r>
      <w:r>
        <w:rPr>
          <w:rFonts w:cs="Times New Roman"/>
          <w:szCs w:val="20"/>
          <w:lang w:val="en-IE"/>
        </w:rPr>
        <w:t>d</w:t>
      </w:r>
      <w:r w:rsidRPr="00B53BDA">
        <w:rPr>
          <w:rFonts w:cs="Times New Roman"/>
          <w:szCs w:val="20"/>
          <w:lang w:val="en-IE"/>
        </w:rPr>
        <w:t xml:space="preserve"> an ‘anchor’ for hazard ratios,</w:t>
      </w:r>
      <w:r>
        <w:rPr>
          <w:rFonts w:cs="Times New Roman"/>
          <w:szCs w:val="20"/>
          <w:lang w:val="en-IE"/>
        </w:rPr>
        <w:t xml:space="preserve"> </w:t>
      </w:r>
      <w:r w:rsidRPr="00B53BDA">
        <w:rPr>
          <w:rFonts w:cs="Times New Roman"/>
          <w:szCs w:val="20"/>
          <w:lang w:val="en-IE"/>
        </w:rPr>
        <w:t xml:space="preserve">which </w:t>
      </w:r>
      <w:r>
        <w:rPr>
          <w:rFonts w:cs="Times New Roman"/>
          <w:szCs w:val="20"/>
          <w:lang w:val="en-IE"/>
        </w:rPr>
        <w:t xml:space="preserve">were </w:t>
      </w:r>
      <w:r w:rsidRPr="00B53BDA">
        <w:rPr>
          <w:rFonts w:cs="Times New Roman"/>
          <w:szCs w:val="20"/>
          <w:lang w:val="en-IE"/>
        </w:rPr>
        <w:t xml:space="preserve">used to model the relative effectiveness of </w:t>
      </w:r>
      <w:r>
        <w:rPr>
          <w:rFonts w:cs="Times New Roman"/>
          <w:szCs w:val="20"/>
          <w:lang w:val="en-IE"/>
        </w:rPr>
        <w:t>the intervention arm</w:t>
      </w:r>
      <w:r w:rsidRPr="00B53BDA">
        <w:rPr>
          <w:rFonts w:cs="Times New Roman"/>
          <w:szCs w:val="20"/>
          <w:lang w:val="en-IE"/>
        </w:rPr>
        <w:t>.</w:t>
      </w:r>
      <w:r>
        <w:rPr>
          <w:rFonts w:cs="Times New Roman"/>
          <w:szCs w:val="20"/>
          <w:lang w:val="en-IE"/>
        </w:rPr>
        <w:t xml:space="preserve"> </w:t>
      </w:r>
      <w:r>
        <w:rPr>
          <w:rFonts w:cs="Times New Roman"/>
          <w:lang w:val="en-IE"/>
        </w:rPr>
        <w:t xml:space="preserve">A Weibull distribution was used to model the baseline (comparator arm) PFS and the OS, as it provided the best fit for both outcomes. Parameter values of these distributions are presented in </w:t>
      </w:r>
      <w:r>
        <w:rPr>
          <w:rFonts w:cs="Times New Roman"/>
          <w:lang w:val="en-IE"/>
        </w:rPr>
        <w:fldChar w:fldCharType="begin"/>
      </w:r>
      <w:r>
        <w:rPr>
          <w:rFonts w:cs="Times New Roman"/>
          <w:lang w:val="en-IE"/>
        </w:rPr>
        <w:instrText xml:space="preserve"> REF _Ref83834992 \h </w:instrText>
      </w:r>
      <w:r>
        <w:rPr>
          <w:rFonts w:cs="Times New Roman"/>
          <w:lang w:val="en-IE"/>
        </w:rPr>
      </w:r>
      <w:r>
        <w:rPr>
          <w:rFonts w:cs="Times New Roman"/>
          <w:lang w:val="en-IE"/>
        </w:rPr>
        <w:fldChar w:fldCharType="separate"/>
      </w:r>
      <w:r>
        <w:t xml:space="preserve">Table </w:t>
      </w:r>
      <w:r>
        <w:rPr>
          <w:noProof/>
        </w:rPr>
        <w:t>1</w:t>
      </w:r>
      <w:r>
        <w:rPr>
          <w:rFonts w:cs="Times New Roman"/>
          <w:lang w:val="en-IE"/>
        </w:rPr>
        <w:fldChar w:fldCharType="end"/>
      </w:r>
      <w:r>
        <w:rPr>
          <w:rFonts w:cs="Times New Roman"/>
          <w:lang w:val="en-IE"/>
        </w:rPr>
        <w:t>.</w:t>
      </w:r>
    </w:p>
    <w:p w14:paraId="0D8E747A" w14:textId="3A2F3ACD" w:rsidR="007E172C" w:rsidRDefault="007E172C" w:rsidP="007E172C">
      <w:pPr>
        <w:pStyle w:val="Caption"/>
        <w:keepNext/>
      </w:pPr>
      <w:bookmarkStart w:id="4" w:name="_Ref83834992"/>
      <w:r>
        <w:t xml:space="preserve">Table </w:t>
      </w:r>
      <w:r>
        <w:fldChar w:fldCharType="begin"/>
      </w:r>
      <w:r>
        <w:instrText xml:space="preserve"> SEQ Table \* ARABIC </w:instrText>
      </w:r>
      <w:r>
        <w:fldChar w:fldCharType="separate"/>
      </w:r>
      <w:r>
        <w:rPr>
          <w:noProof/>
        </w:rPr>
        <w:t>1</w:t>
      </w:r>
      <w:r>
        <w:fldChar w:fldCharType="end"/>
      </w:r>
      <w:bookmarkEnd w:id="4"/>
      <w:r>
        <w:t>. Parameter value for baseline survival functions</w:t>
      </w:r>
    </w:p>
    <w:tbl>
      <w:tblPr>
        <w:tblW w:w="4979" w:type="pct"/>
        <w:tblCellMar>
          <w:left w:w="0" w:type="dxa"/>
          <w:right w:w="0" w:type="dxa"/>
        </w:tblCellMar>
        <w:tblLook w:val="01E0" w:firstRow="1" w:lastRow="1" w:firstColumn="1" w:lastColumn="1" w:noHBand="0" w:noVBand="0"/>
      </w:tblPr>
      <w:tblGrid>
        <w:gridCol w:w="2041"/>
        <w:gridCol w:w="3881"/>
        <w:gridCol w:w="3054"/>
      </w:tblGrid>
      <w:tr w:rsidR="00BB5FFA" w:rsidRPr="00D539D9" w14:paraId="6AFD8199" w14:textId="17A4FEC8" w:rsidTr="00E61811">
        <w:trPr>
          <w:trHeight w:hRule="exact" w:val="1439"/>
        </w:trPr>
        <w:tc>
          <w:tcPr>
            <w:tcW w:w="1137" w:type="pct"/>
            <w:tcBorders>
              <w:top w:val="single" w:sz="5" w:space="0" w:color="000000"/>
              <w:left w:val="single" w:sz="5" w:space="0" w:color="000000"/>
              <w:bottom w:val="single" w:sz="5" w:space="0" w:color="000000"/>
              <w:right w:val="single" w:sz="5" w:space="0" w:color="000000"/>
            </w:tcBorders>
            <w:vAlign w:val="center"/>
          </w:tcPr>
          <w:p w14:paraId="2D1725DE" w14:textId="77777777" w:rsidR="00BB5FFA" w:rsidRPr="00D539D9" w:rsidRDefault="00BB5FFA" w:rsidP="00BB5FFA">
            <w:pPr>
              <w:spacing w:before="16"/>
              <w:ind w:left="120" w:right="-56"/>
              <w:rPr>
                <w:rFonts w:ascii="Arial" w:hAnsi="Arial" w:cs="Arial"/>
                <w:b/>
                <w:sz w:val="18"/>
                <w:szCs w:val="18"/>
              </w:rPr>
            </w:pPr>
            <w:r>
              <w:rPr>
                <w:rFonts w:ascii="Arial" w:eastAsia="Arial" w:hAnsi="Arial" w:cs="Arial"/>
                <w:b/>
                <w:sz w:val="18"/>
                <w:szCs w:val="18"/>
              </w:rPr>
              <w:t>Input</w:t>
            </w:r>
          </w:p>
        </w:tc>
        <w:tc>
          <w:tcPr>
            <w:tcW w:w="2162" w:type="pct"/>
            <w:tcBorders>
              <w:top w:val="single" w:sz="5" w:space="0" w:color="000000"/>
              <w:left w:val="single" w:sz="5" w:space="0" w:color="000000"/>
              <w:bottom w:val="single" w:sz="5" w:space="0" w:color="000000"/>
              <w:right w:val="single" w:sz="5" w:space="0" w:color="000000"/>
            </w:tcBorders>
            <w:vAlign w:val="center"/>
          </w:tcPr>
          <w:p w14:paraId="6C1489F6" w14:textId="77777777" w:rsidR="00BB5FFA" w:rsidRPr="00D539D9" w:rsidRDefault="00BB5FFA" w:rsidP="00BB5FFA">
            <w:pPr>
              <w:spacing w:before="16"/>
              <w:ind w:left="120" w:right="-56"/>
              <w:jc w:val="center"/>
              <w:rPr>
                <w:rFonts w:ascii="Arial" w:hAnsi="Arial" w:cs="Arial"/>
                <w:b/>
                <w:sz w:val="18"/>
                <w:szCs w:val="18"/>
              </w:rPr>
            </w:pPr>
            <w:r w:rsidRPr="00D539D9">
              <w:rPr>
                <w:rFonts w:ascii="Arial" w:eastAsia="Arial" w:hAnsi="Arial" w:cs="Arial"/>
                <w:b/>
                <w:sz w:val="18"/>
                <w:szCs w:val="18"/>
              </w:rPr>
              <w:t>Mean</w:t>
            </w:r>
            <w:r>
              <w:rPr>
                <w:rFonts w:ascii="Arial" w:eastAsia="Arial" w:hAnsi="Arial" w:cs="Arial"/>
                <w:b/>
                <w:sz w:val="18"/>
                <w:szCs w:val="18"/>
              </w:rPr>
              <w:t xml:space="preserve"> (Lower, Upper limit)</w:t>
            </w:r>
          </w:p>
        </w:tc>
        <w:tc>
          <w:tcPr>
            <w:tcW w:w="1701" w:type="pct"/>
            <w:tcBorders>
              <w:top w:val="single" w:sz="5" w:space="0" w:color="000000"/>
              <w:left w:val="single" w:sz="5" w:space="0" w:color="000000"/>
              <w:bottom w:val="single" w:sz="5" w:space="0" w:color="000000"/>
              <w:right w:val="single" w:sz="5" w:space="0" w:color="000000"/>
            </w:tcBorders>
            <w:vAlign w:val="center"/>
          </w:tcPr>
          <w:p w14:paraId="2662FA48" w14:textId="08B59A55" w:rsidR="00BB5FFA" w:rsidRPr="00D539D9" w:rsidRDefault="00BB5FFA" w:rsidP="00BB5FFA">
            <w:pPr>
              <w:spacing w:before="16"/>
              <w:ind w:left="120" w:right="-56"/>
              <w:jc w:val="center"/>
              <w:rPr>
                <w:rFonts w:ascii="Arial" w:eastAsia="Arial" w:hAnsi="Arial" w:cs="Arial"/>
                <w:b/>
                <w:sz w:val="18"/>
                <w:szCs w:val="18"/>
              </w:rPr>
            </w:pPr>
            <w:r>
              <w:rPr>
                <w:rFonts w:ascii="Arial" w:eastAsia="Arial" w:hAnsi="Arial" w:cs="Arial"/>
                <w:b/>
                <w:sz w:val="18"/>
                <w:szCs w:val="18"/>
              </w:rPr>
              <w:t>Covariance matrix</w:t>
            </w:r>
          </w:p>
        </w:tc>
      </w:tr>
      <w:tr w:rsidR="00BB5FFA" w:rsidRPr="00D539D9" w14:paraId="5E2F55A0" w14:textId="5D20C2A4" w:rsidTr="00E61811">
        <w:trPr>
          <w:trHeight w:hRule="exact" w:val="1045"/>
        </w:trPr>
        <w:tc>
          <w:tcPr>
            <w:tcW w:w="1137" w:type="pct"/>
            <w:tcBorders>
              <w:top w:val="single" w:sz="5" w:space="0" w:color="000000"/>
              <w:left w:val="single" w:sz="5" w:space="0" w:color="000000"/>
              <w:bottom w:val="single" w:sz="5" w:space="0" w:color="000000"/>
              <w:right w:val="single" w:sz="5" w:space="0" w:color="000000"/>
            </w:tcBorders>
            <w:vAlign w:val="center"/>
          </w:tcPr>
          <w:p w14:paraId="1A61C5B1" w14:textId="77777777" w:rsidR="00BB5FFA" w:rsidRPr="00D539D9" w:rsidRDefault="00BB5FFA" w:rsidP="00BB5FFA">
            <w:pPr>
              <w:spacing w:before="3" w:line="240" w:lineRule="exact"/>
              <w:ind w:left="102" w:right="227"/>
              <w:jc w:val="left"/>
              <w:rPr>
                <w:rFonts w:ascii="Arial" w:eastAsia="Arial" w:hAnsi="Arial" w:cs="Arial"/>
                <w:sz w:val="18"/>
                <w:szCs w:val="18"/>
              </w:rPr>
            </w:pPr>
            <w:r w:rsidRPr="00D539D9">
              <w:rPr>
                <w:rFonts w:ascii="Arial" w:eastAsia="Arial" w:hAnsi="Arial" w:cs="Arial"/>
                <w:sz w:val="18"/>
                <w:szCs w:val="18"/>
              </w:rPr>
              <w:lastRenderedPageBreak/>
              <w:t xml:space="preserve">PFS </w:t>
            </w:r>
          </w:p>
        </w:tc>
        <w:tc>
          <w:tcPr>
            <w:tcW w:w="2162" w:type="pct"/>
            <w:tcBorders>
              <w:top w:val="single" w:sz="5" w:space="0" w:color="000000"/>
              <w:left w:val="single" w:sz="5" w:space="0" w:color="000000"/>
              <w:bottom w:val="single" w:sz="5" w:space="0" w:color="000000"/>
              <w:right w:val="single" w:sz="5" w:space="0" w:color="000000"/>
            </w:tcBorders>
            <w:vAlign w:val="center"/>
          </w:tcPr>
          <w:p w14:paraId="33E9DB90" w14:textId="5C5D857D" w:rsidR="00BB5FFA" w:rsidRDefault="00BB5FFA" w:rsidP="00C66DB0">
            <w:pPr>
              <w:spacing w:after="80"/>
              <w:jc w:val="center"/>
              <w:rPr>
                <w:rFonts w:ascii="Arial" w:hAnsi="Arial" w:cs="Arial"/>
                <w:sz w:val="18"/>
                <w:szCs w:val="18"/>
              </w:rPr>
            </w:pPr>
            <w:r>
              <w:rPr>
                <w:rFonts w:ascii="Arial" w:hAnsi="Arial" w:cs="Arial"/>
                <w:sz w:val="18"/>
                <w:szCs w:val="18"/>
              </w:rPr>
              <w:t xml:space="preserve">Weibull shape: </w:t>
            </w:r>
            <w:r w:rsidRPr="00A02A54">
              <w:rPr>
                <w:rFonts w:ascii="Arial" w:hAnsi="Arial" w:cs="Arial"/>
                <w:sz w:val="18"/>
                <w:szCs w:val="18"/>
              </w:rPr>
              <w:t>0.2309</w:t>
            </w:r>
          </w:p>
          <w:p w14:paraId="2D98E8FF" w14:textId="24FA1123" w:rsidR="00BB5FFA" w:rsidRPr="00D539D9" w:rsidRDefault="00BB5FFA" w:rsidP="00C66DB0">
            <w:pPr>
              <w:spacing w:after="80"/>
              <w:jc w:val="center"/>
              <w:rPr>
                <w:rFonts w:ascii="Arial" w:hAnsi="Arial" w:cs="Arial"/>
                <w:sz w:val="18"/>
                <w:szCs w:val="18"/>
              </w:rPr>
            </w:pPr>
            <w:r>
              <w:rPr>
                <w:rFonts w:ascii="Arial" w:hAnsi="Arial" w:cs="Arial"/>
                <w:sz w:val="18"/>
                <w:szCs w:val="18"/>
              </w:rPr>
              <w:t xml:space="preserve">Weibull scale: </w:t>
            </w:r>
            <w:r w:rsidRPr="00A02A54">
              <w:rPr>
                <w:rFonts w:ascii="Arial" w:hAnsi="Arial" w:cs="Arial"/>
                <w:sz w:val="18"/>
                <w:szCs w:val="18"/>
              </w:rPr>
              <w:t>0.2774</w:t>
            </w:r>
          </w:p>
        </w:tc>
        <w:tc>
          <w:tcPr>
            <w:tcW w:w="1701" w:type="pct"/>
            <w:tcBorders>
              <w:top w:val="single" w:sz="5" w:space="0" w:color="000000"/>
              <w:left w:val="single" w:sz="5" w:space="0" w:color="000000"/>
              <w:bottom w:val="single" w:sz="5" w:space="0" w:color="000000"/>
              <w:right w:val="single" w:sz="5" w:space="0" w:color="000000"/>
            </w:tcBorders>
            <w:vAlign w:val="center"/>
          </w:tcPr>
          <w:tbl>
            <w:tblPr>
              <w:tblStyle w:val="TableGrid"/>
              <w:tblW w:w="0" w:type="auto"/>
              <w:tblLook w:val="04A0" w:firstRow="1" w:lastRow="0" w:firstColumn="1" w:lastColumn="0" w:noHBand="0" w:noVBand="1"/>
            </w:tblPr>
            <w:tblGrid>
              <w:gridCol w:w="1010"/>
              <w:gridCol w:w="1011"/>
              <w:gridCol w:w="1011"/>
            </w:tblGrid>
            <w:tr w:rsidR="00C66DB0" w:rsidRPr="00C66DB0" w14:paraId="4D26D6BD" w14:textId="77777777" w:rsidTr="00C66DB0">
              <w:tc>
                <w:tcPr>
                  <w:tcW w:w="1010" w:type="dxa"/>
                </w:tcPr>
                <w:p w14:paraId="782989D2" w14:textId="77777777" w:rsidR="00C66DB0" w:rsidRPr="00C66DB0" w:rsidRDefault="00C66DB0" w:rsidP="00C66DB0">
                  <w:pPr>
                    <w:jc w:val="center"/>
                    <w:rPr>
                      <w:rFonts w:ascii="Arial" w:hAnsi="Arial" w:cs="Arial"/>
                      <w:sz w:val="18"/>
                      <w:szCs w:val="18"/>
                    </w:rPr>
                  </w:pPr>
                </w:p>
              </w:tc>
              <w:tc>
                <w:tcPr>
                  <w:tcW w:w="1011" w:type="dxa"/>
                </w:tcPr>
                <w:p w14:paraId="6C992A4F" w14:textId="7EB0B713" w:rsidR="00C66DB0" w:rsidRPr="00C66DB0" w:rsidRDefault="00C66DB0" w:rsidP="00C66DB0">
                  <w:pPr>
                    <w:jc w:val="center"/>
                    <w:rPr>
                      <w:rFonts w:ascii="Arial" w:hAnsi="Arial" w:cs="Arial"/>
                      <w:sz w:val="18"/>
                      <w:szCs w:val="18"/>
                    </w:rPr>
                  </w:pPr>
                  <w:r w:rsidRPr="00C66DB0">
                    <w:rPr>
                      <w:sz w:val="18"/>
                      <w:szCs w:val="18"/>
                    </w:rPr>
                    <w:t>Shape</w:t>
                  </w:r>
                </w:p>
              </w:tc>
              <w:tc>
                <w:tcPr>
                  <w:tcW w:w="1011" w:type="dxa"/>
                </w:tcPr>
                <w:p w14:paraId="4AF8FDA1" w14:textId="5C6C47E4" w:rsidR="00C66DB0" w:rsidRPr="00C66DB0" w:rsidRDefault="00C66DB0" w:rsidP="00C66DB0">
                  <w:pPr>
                    <w:jc w:val="center"/>
                    <w:rPr>
                      <w:rFonts w:ascii="Arial" w:hAnsi="Arial" w:cs="Arial"/>
                      <w:sz w:val="18"/>
                      <w:szCs w:val="18"/>
                    </w:rPr>
                  </w:pPr>
                  <w:r w:rsidRPr="00C66DB0">
                    <w:rPr>
                      <w:sz w:val="18"/>
                      <w:szCs w:val="18"/>
                    </w:rPr>
                    <w:t>Scale</w:t>
                  </w:r>
                </w:p>
              </w:tc>
            </w:tr>
            <w:tr w:rsidR="00C66DB0" w:rsidRPr="00C66DB0" w14:paraId="5D7D5C49" w14:textId="77777777" w:rsidTr="00C66DB0">
              <w:tc>
                <w:tcPr>
                  <w:tcW w:w="1010" w:type="dxa"/>
                </w:tcPr>
                <w:p w14:paraId="6608F4EA" w14:textId="410ED690" w:rsidR="00C66DB0" w:rsidRPr="00C66DB0" w:rsidRDefault="00C66DB0" w:rsidP="00C66DB0">
                  <w:pPr>
                    <w:jc w:val="center"/>
                    <w:rPr>
                      <w:rFonts w:ascii="Arial" w:hAnsi="Arial" w:cs="Arial"/>
                      <w:sz w:val="18"/>
                      <w:szCs w:val="18"/>
                    </w:rPr>
                  </w:pPr>
                  <w:r w:rsidRPr="00C66DB0">
                    <w:rPr>
                      <w:sz w:val="18"/>
                      <w:szCs w:val="18"/>
                    </w:rPr>
                    <w:t>Shape</w:t>
                  </w:r>
                </w:p>
              </w:tc>
              <w:tc>
                <w:tcPr>
                  <w:tcW w:w="1011" w:type="dxa"/>
                </w:tcPr>
                <w:p w14:paraId="00A89033" w14:textId="714A18E4" w:rsidR="00C66DB0" w:rsidRPr="00C66DB0" w:rsidRDefault="00C66DB0" w:rsidP="00C66DB0">
                  <w:pPr>
                    <w:jc w:val="center"/>
                    <w:rPr>
                      <w:rFonts w:ascii="Arial" w:hAnsi="Arial" w:cs="Arial"/>
                      <w:sz w:val="18"/>
                      <w:szCs w:val="18"/>
                    </w:rPr>
                  </w:pPr>
                  <w:r w:rsidRPr="00C66DB0">
                    <w:rPr>
                      <w:sz w:val="18"/>
                      <w:szCs w:val="18"/>
                    </w:rPr>
                    <w:t>0.003437</w:t>
                  </w:r>
                </w:p>
              </w:tc>
              <w:tc>
                <w:tcPr>
                  <w:tcW w:w="1011" w:type="dxa"/>
                </w:tcPr>
                <w:p w14:paraId="5DB0AA2D" w14:textId="42A9E714" w:rsidR="00C66DB0" w:rsidRPr="00C66DB0" w:rsidRDefault="00C66DB0" w:rsidP="00C66DB0">
                  <w:pPr>
                    <w:jc w:val="center"/>
                    <w:rPr>
                      <w:rFonts w:ascii="Arial" w:hAnsi="Arial" w:cs="Arial"/>
                      <w:sz w:val="18"/>
                      <w:szCs w:val="18"/>
                    </w:rPr>
                  </w:pPr>
                  <w:r w:rsidRPr="00C66DB0">
                    <w:rPr>
                      <w:sz w:val="18"/>
                      <w:szCs w:val="18"/>
                    </w:rPr>
                    <w:t>-0.000104</w:t>
                  </w:r>
                </w:p>
              </w:tc>
            </w:tr>
            <w:tr w:rsidR="00C66DB0" w:rsidRPr="00C66DB0" w14:paraId="7327BD3D" w14:textId="77777777" w:rsidTr="00C66DB0">
              <w:tc>
                <w:tcPr>
                  <w:tcW w:w="1010" w:type="dxa"/>
                </w:tcPr>
                <w:p w14:paraId="2D4A3CF4" w14:textId="0B12B4AC" w:rsidR="00C66DB0" w:rsidRPr="00C66DB0" w:rsidRDefault="00C66DB0" w:rsidP="00C66DB0">
                  <w:pPr>
                    <w:jc w:val="center"/>
                    <w:rPr>
                      <w:rFonts w:ascii="Arial" w:hAnsi="Arial" w:cs="Arial"/>
                      <w:sz w:val="18"/>
                      <w:szCs w:val="18"/>
                    </w:rPr>
                  </w:pPr>
                  <w:r w:rsidRPr="00C66DB0">
                    <w:rPr>
                      <w:sz w:val="18"/>
                      <w:szCs w:val="18"/>
                    </w:rPr>
                    <w:t>Scale</w:t>
                  </w:r>
                </w:p>
              </w:tc>
              <w:tc>
                <w:tcPr>
                  <w:tcW w:w="1011" w:type="dxa"/>
                </w:tcPr>
                <w:p w14:paraId="14112DB7" w14:textId="67A9EC1F" w:rsidR="00C66DB0" w:rsidRPr="00C66DB0" w:rsidRDefault="00C66DB0" w:rsidP="00C66DB0">
                  <w:pPr>
                    <w:jc w:val="center"/>
                    <w:rPr>
                      <w:rFonts w:ascii="Arial" w:hAnsi="Arial" w:cs="Arial"/>
                      <w:sz w:val="18"/>
                      <w:szCs w:val="18"/>
                    </w:rPr>
                  </w:pPr>
                  <w:r w:rsidRPr="00C66DB0">
                    <w:rPr>
                      <w:sz w:val="18"/>
                      <w:szCs w:val="18"/>
                    </w:rPr>
                    <w:t>-0.000104</w:t>
                  </w:r>
                </w:p>
              </w:tc>
              <w:tc>
                <w:tcPr>
                  <w:tcW w:w="1011" w:type="dxa"/>
                </w:tcPr>
                <w:p w14:paraId="72138D7C" w14:textId="7CD43F98" w:rsidR="00C66DB0" w:rsidRPr="00C66DB0" w:rsidRDefault="00C66DB0" w:rsidP="00C66DB0">
                  <w:pPr>
                    <w:jc w:val="center"/>
                    <w:rPr>
                      <w:rFonts w:ascii="Arial" w:hAnsi="Arial" w:cs="Arial"/>
                      <w:sz w:val="18"/>
                      <w:szCs w:val="18"/>
                    </w:rPr>
                  </w:pPr>
                  <w:r w:rsidRPr="00C66DB0">
                    <w:rPr>
                      <w:sz w:val="18"/>
                      <w:szCs w:val="18"/>
                    </w:rPr>
                    <w:t>0.005851</w:t>
                  </w:r>
                </w:p>
              </w:tc>
            </w:tr>
          </w:tbl>
          <w:p w14:paraId="721DA2CB" w14:textId="61EC8564" w:rsidR="00BB5FFA" w:rsidRDefault="00BB5FFA" w:rsidP="00BB5FFA">
            <w:pPr>
              <w:jc w:val="center"/>
              <w:rPr>
                <w:rFonts w:ascii="Arial" w:hAnsi="Arial" w:cs="Arial"/>
                <w:sz w:val="18"/>
                <w:szCs w:val="18"/>
              </w:rPr>
            </w:pPr>
          </w:p>
        </w:tc>
      </w:tr>
      <w:tr w:rsidR="00BB5FFA" w:rsidRPr="00D539D9" w14:paraId="51F4A847" w14:textId="57D4C894" w:rsidTr="00E61811">
        <w:trPr>
          <w:trHeight w:hRule="exact" w:val="1411"/>
        </w:trPr>
        <w:tc>
          <w:tcPr>
            <w:tcW w:w="1137" w:type="pct"/>
            <w:tcBorders>
              <w:top w:val="single" w:sz="5" w:space="0" w:color="000000"/>
              <w:left w:val="single" w:sz="5" w:space="0" w:color="000000"/>
              <w:bottom w:val="single" w:sz="5" w:space="0" w:color="000000"/>
              <w:right w:val="single" w:sz="5" w:space="0" w:color="000000"/>
            </w:tcBorders>
            <w:vAlign w:val="center"/>
          </w:tcPr>
          <w:p w14:paraId="58F4D6E8" w14:textId="77777777" w:rsidR="00BB5FFA" w:rsidRPr="00D539D9" w:rsidRDefault="00BB5FFA" w:rsidP="00BB5FFA">
            <w:pPr>
              <w:spacing w:before="3" w:line="240" w:lineRule="exact"/>
              <w:ind w:left="102" w:right="227"/>
              <w:jc w:val="left"/>
              <w:rPr>
                <w:rFonts w:ascii="Arial" w:eastAsia="Arial" w:hAnsi="Arial" w:cs="Arial"/>
                <w:sz w:val="18"/>
                <w:szCs w:val="18"/>
              </w:rPr>
            </w:pPr>
            <w:r>
              <w:rPr>
                <w:rFonts w:ascii="Arial" w:eastAsia="Arial" w:hAnsi="Arial" w:cs="Arial"/>
                <w:sz w:val="18"/>
                <w:szCs w:val="18"/>
              </w:rPr>
              <w:t>OS</w:t>
            </w:r>
          </w:p>
        </w:tc>
        <w:tc>
          <w:tcPr>
            <w:tcW w:w="2162" w:type="pct"/>
            <w:tcBorders>
              <w:top w:val="single" w:sz="5" w:space="0" w:color="000000"/>
              <w:left w:val="single" w:sz="5" w:space="0" w:color="000000"/>
              <w:bottom w:val="single" w:sz="5" w:space="0" w:color="000000"/>
              <w:right w:val="single" w:sz="5" w:space="0" w:color="000000"/>
            </w:tcBorders>
            <w:vAlign w:val="center"/>
          </w:tcPr>
          <w:p w14:paraId="43E55ED1" w14:textId="4E102765" w:rsidR="00BB5FFA" w:rsidRDefault="00BB5FFA" w:rsidP="00C66DB0">
            <w:pPr>
              <w:spacing w:after="80"/>
              <w:jc w:val="center"/>
              <w:rPr>
                <w:rFonts w:ascii="Arial" w:hAnsi="Arial" w:cs="Arial"/>
                <w:sz w:val="18"/>
                <w:szCs w:val="18"/>
              </w:rPr>
            </w:pPr>
            <w:r>
              <w:rPr>
                <w:rFonts w:ascii="Arial" w:hAnsi="Arial" w:cs="Arial"/>
                <w:sz w:val="18"/>
                <w:szCs w:val="18"/>
              </w:rPr>
              <w:t xml:space="preserve">Weibull shape: </w:t>
            </w:r>
            <w:r w:rsidRPr="00A02A54">
              <w:rPr>
                <w:rFonts w:ascii="Arial" w:hAnsi="Arial" w:cs="Arial"/>
                <w:sz w:val="18"/>
                <w:szCs w:val="18"/>
              </w:rPr>
              <w:t>0.1757</w:t>
            </w:r>
          </w:p>
          <w:p w14:paraId="51735E47" w14:textId="38BCBFCE" w:rsidR="00BB5FFA" w:rsidRPr="00D539D9" w:rsidRDefault="00BB5FFA" w:rsidP="00C66DB0">
            <w:pPr>
              <w:spacing w:after="80"/>
              <w:jc w:val="center"/>
              <w:rPr>
                <w:rFonts w:ascii="Arial" w:hAnsi="Arial" w:cs="Arial"/>
                <w:sz w:val="18"/>
                <w:szCs w:val="18"/>
              </w:rPr>
            </w:pPr>
            <w:r>
              <w:rPr>
                <w:rFonts w:ascii="Arial" w:hAnsi="Arial" w:cs="Arial"/>
                <w:sz w:val="18"/>
                <w:szCs w:val="18"/>
              </w:rPr>
              <w:t xml:space="preserve">Weibull scale: </w:t>
            </w:r>
            <w:r w:rsidRPr="00A02A54">
              <w:rPr>
                <w:rFonts w:ascii="Arial" w:hAnsi="Arial" w:cs="Arial"/>
                <w:sz w:val="18"/>
                <w:szCs w:val="18"/>
              </w:rPr>
              <w:t>0.1155</w:t>
            </w:r>
          </w:p>
        </w:tc>
        <w:tc>
          <w:tcPr>
            <w:tcW w:w="1701" w:type="pct"/>
            <w:tcBorders>
              <w:top w:val="single" w:sz="5" w:space="0" w:color="000000"/>
              <w:left w:val="single" w:sz="5" w:space="0" w:color="000000"/>
              <w:bottom w:val="single" w:sz="5" w:space="0" w:color="000000"/>
              <w:right w:val="single" w:sz="5" w:space="0" w:color="000000"/>
            </w:tcBorders>
            <w:vAlign w:val="center"/>
          </w:tcPr>
          <w:tbl>
            <w:tblPr>
              <w:tblStyle w:val="TableGrid"/>
              <w:tblW w:w="0" w:type="auto"/>
              <w:tblLook w:val="04A0" w:firstRow="1" w:lastRow="0" w:firstColumn="1" w:lastColumn="0" w:noHBand="0" w:noVBand="1"/>
            </w:tblPr>
            <w:tblGrid>
              <w:gridCol w:w="1010"/>
              <w:gridCol w:w="1011"/>
              <w:gridCol w:w="1011"/>
            </w:tblGrid>
            <w:tr w:rsidR="00C66DB0" w:rsidRPr="00C66DB0" w14:paraId="7C54A9D8" w14:textId="77777777" w:rsidTr="003E5B3E">
              <w:tc>
                <w:tcPr>
                  <w:tcW w:w="1010" w:type="dxa"/>
                </w:tcPr>
                <w:p w14:paraId="7D54814C" w14:textId="77777777" w:rsidR="00C66DB0" w:rsidRPr="00C66DB0" w:rsidRDefault="00C66DB0" w:rsidP="00C66DB0">
                  <w:pPr>
                    <w:jc w:val="center"/>
                    <w:rPr>
                      <w:rFonts w:ascii="Arial" w:hAnsi="Arial" w:cs="Arial"/>
                      <w:sz w:val="18"/>
                      <w:szCs w:val="18"/>
                    </w:rPr>
                  </w:pPr>
                </w:p>
              </w:tc>
              <w:tc>
                <w:tcPr>
                  <w:tcW w:w="1011" w:type="dxa"/>
                </w:tcPr>
                <w:p w14:paraId="2DF138A5" w14:textId="77777777" w:rsidR="00C66DB0" w:rsidRPr="00C66DB0" w:rsidRDefault="00C66DB0" w:rsidP="00C66DB0">
                  <w:pPr>
                    <w:jc w:val="center"/>
                    <w:rPr>
                      <w:rFonts w:ascii="Arial" w:hAnsi="Arial" w:cs="Arial"/>
                      <w:sz w:val="18"/>
                      <w:szCs w:val="18"/>
                    </w:rPr>
                  </w:pPr>
                  <w:r w:rsidRPr="00C66DB0">
                    <w:rPr>
                      <w:sz w:val="18"/>
                      <w:szCs w:val="18"/>
                    </w:rPr>
                    <w:t>Shape</w:t>
                  </w:r>
                </w:p>
              </w:tc>
              <w:tc>
                <w:tcPr>
                  <w:tcW w:w="1011" w:type="dxa"/>
                </w:tcPr>
                <w:p w14:paraId="1A16EB7C" w14:textId="77777777" w:rsidR="00C66DB0" w:rsidRPr="00C66DB0" w:rsidRDefault="00C66DB0" w:rsidP="00C66DB0">
                  <w:pPr>
                    <w:jc w:val="center"/>
                    <w:rPr>
                      <w:rFonts w:ascii="Arial" w:hAnsi="Arial" w:cs="Arial"/>
                      <w:sz w:val="18"/>
                      <w:szCs w:val="18"/>
                    </w:rPr>
                  </w:pPr>
                  <w:r w:rsidRPr="00C66DB0">
                    <w:rPr>
                      <w:sz w:val="18"/>
                      <w:szCs w:val="18"/>
                    </w:rPr>
                    <w:t>Scale</w:t>
                  </w:r>
                </w:p>
              </w:tc>
            </w:tr>
            <w:tr w:rsidR="00C66DB0" w:rsidRPr="00C66DB0" w14:paraId="30587B6D" w14:textId="77777777" w:rsidTr="003E5B3E">
              <w:tc>
                <w:tcPr>
                  <w:tcW w:w="1010" w:type="dxa"/>
                </w:tcPr>
                <w:p w14:paraId="5704AD57" w14:textId="77777777" w:rsidR="00C66DB0" w:rsidRPr="00C66DB0" w:rsidRDefault="00C66DB0" w:rsidP="00C66DB0">
                  <w:pPr>
                    <w:jc w:val="center"/>
                    <w:rPr>
                      <w:rFonts w:ascii="Arial" w:hAnsi="Arial" w:cs="Arial"/>
                      <w:sz w:val="18"/>
                      <w:szCs w:val="18"/>
                    </w:rPr>
                  </w:pPr>
                  <w:r w:rsidRPr="00C66DB0">
                    <w:rPr>
                      <w:sz w:val="18"/>
                      <w:szCs w:val="18"/>
                    </w:rPr>
                    <w:t>Shape</w:t>
                  </w:r>
                </w:p>
              </w:tc>
              <w:tc>
                <w:tcPr>
                  <w:tcW w:w="1011" w:type="dxa"/>
                </w:tcPr>
                <w:p w14:paraId="697AD5C5" w14:textId="525B8814" w:rsidR="00C66DB0" w:rsidRPr="00C66DB0" w:rsidRDefault="00C66DB0" w:rsidP="00C66DB0">
                  <w:pPr>
                    <w:jc w:val="center"/>
                    <w:rPr>
                      <w:rFonts w:ascii="Arial" w:hAnsi="Arial" w:cs="Arial"/>
                      <w:sz w:val="18"/>
                      <w:szCs w:val="18"/>
                    </w:rPr>
                  </w:pPr>
                  <w:r w:rsidRPr="00C66DB0">
                    <w:rPr>
                      <w:sz w:val="18"/>
                      <w:szCs w:val="18"/>
                    </w:rPr>
                    <w:t>0.003676</w:t>
                  </w:r>
                </w:p>
              </w:tc>
              <w:tc>
                <w:tcPr>
                  <w:tcW w:w="1011" w:type="dxa"/>
                </w:tcPr>
                <w:p w14:paraId="2867C760" w14:textId="0142A3FB" w:rsidR="00C66DB0" w:rsidRPr="00C66DB0" w:rsidRDefault="00C66DB0" w:rsidP="00C66DB0">
                  <w:pPr>
                    <w:jc w:val="center"/>
                    <w:rPr>
                      <w:rFonts w:ascii="Arial" w:hAnsi="Arial" w:cs="Arial"/>
                      <w:sz w:val="18"/>
                      <w:szCs w:val="18"/>
                    </w:rPr>
                  </w:pPr>
                  <w:r w:rsidRPr="00C66DB0">
                    <w:rPr>
                      <w:sz w:val="18"/>
                      <w:szCs w:val="18"/>
                    </w:rPr>
                    <w:t>-0.000482</w:t>
                  </w:r>
                </w:p>
              </w:tc>
            </w:tr>
            <w:tr w:rsidR="00C66DB0" w:rsidRPr="00C66DB0" w14:paraId="728BC395" w14:textId="77777777" w:rsidTr="003E5B3E">
              <w:tc>
                <w:tcPr>
                  <w:tcW w:w="1010" w:type="dxa"/>
                </w:tcPr>
                <w:p w14:paraId="4D83DE5C" w14:textId="77777777" w:rsidR="00C66DB0" w:rsidRPr="00C66DB0" w:rsidRDefault="00C66DB0" w:rsidP="00C66DB0">
                  <w:pPr>
                    <w:jc w:val="center"/>
                    <w:rPr>
                      <w:rFonts w:ascii="Arial" w:hAnsi="Arial" w:cs="Arial"/>
                      <w:sz w:val="18"/>
                      <w:szCs w:val="18"/>
                    </w:rPr>
                  </w:pPr>
                  <w:r w:rsidRPr="00C66DB0">
                    <w:rPr>
                      <w:sz w:val="18"/>
                      <w:szCs w:val="18"/>
                    </w:rPr>
                    <w:t>Scale</w:t>
                  </w:r>
                </w:p>
              </w:tc>
              <w:tc>
                <w:tcPr>
                  <w:tcW w:w="1011" w:type="dxa"/>
                </w:tcPr>
                <w:p w14:paraId="56F6607D" w14:textId="42AB1C69" w:rsidR="00C66DB0" w:rsidRPr="00C66DB0" w:rsidRDefault="00C66DB0" w:rsidP="00C66DB0">
                  <w:pPr>
                    <w:jc w:val="center"/>
                    <w:rPr>
                      <w:rFonts w:ascii="Arial" w:hAnsi="Arial" w:cs="Arial"/>
                      <w:sz w:val="18"/>
                      <w:szCs w:val="18"/>
                    </w:rPr>
                  </w:pPr>
                  <w:r w:rsidRPr="00C66DB0">
                    <w:rPr>
                      <w:sz w:val="18"/>
                      <w:szCs w:val="18"/>
                    </w:rPr>
                    <w:t>-0.000482</w:t>
                  </w:r>
                </w:p>
              </w:tc>
              <w:tc>
                <w:tcPr>
                  <w:tcW w:w="1011" w:type="dxa"/>
                </w:tcPr>
                <w:p w14:paraId="44E078EC" w14:textId="427E34CE" w:rsidR="00C66DB0" w:rsidRPr="00C66DB0" w:rsidRDefault="00C66DB0" w:rsidP="00C66DB0">
                  <w:pPr>
                    <w:jc w:val="center"/>
                    <w:rPr>
                      <w:rFonts w:ascii="Arial" w:hAnsi="Arial" w:cs="Arial"/>
                      <w:sz w:val="18"/>
                      <w:szCs w:val="18"/>
                    </w:rPr>
                  </w:pPr>
                  <w:r w:rsidRPr="00C66DB0">
                    <w:rPr>
                      <w:sz w:val="18"/>
                      <w:szCs w:val="18"/>
                    </w:rPr>
                    <w:t>0.006161</w:t>
                  </w:r>
                </w:p>
              </w:tc>
            </w:tr>
          </w:tbl>
          <w:p w14:paraId="76D2E39F" w14:textId="068929FE" w:rsidR="00BB5FFA" w:rsidRDefault="00BB5FFA" w:rsidP="00BB5FFA">
            <w:pPr>
              <w:jc w:val="center"/>
              <w:rPr>
                <w:rFonts w:ascii="Arial" w:hAnsi="Arial" w:cs="Arial"/>
                <w:sz w:val="18"/>
                <w:szCs w:val="18"/>
              </w:rPr>
            </w:pPr>
          </w:p>
        </w:tc>
      </w:tr>
    </w:tbl>
    <w:p w14:paraId="31E88782" w14:textId="6A0FC5C6" w:rsidR="007E172C" w:rsidRDefault="007E172C" w:rsidP="007E172C">
      <w:pPr>
        <w:rPr>
          <w:rFonts w:cs="Times New Roman"/>
          <w:lang w:val="en-IE"/>
        </w:rPr>
      </w:pPr>
      <w:r>
        <w:rPr>
          <w:rFonts w:cs="Times New Roman"/>
          <w:szCs w:val="20"/>
          <w:lang w:val="en-IE"/>
        </w:rPr>
        <w:t>A</w:t>
      </w:r>
      <w:r w:rsidRPr="00DA679B">
        <w:rPr>
          <w:rFonts w:cs="Times New Roman"/>
          <w:lang w:val="en-IE"/>
        </w:rPr>
        <w:t>ll unmeasured confounding adjusted hazard ratios were generated and then input into the CEM. Firstly the ‘true’ (albeit unknown) hazard ratio was assumed using the entirety of the available retrospective data.  Then analyses were conducted using a naïve unadjusted comparison of survival from the two data sources, and an additional comparison using the two methods</w:t>
      </w:r>
      <w:r w:rsidR="00457F94">
        <w:rPr>
          <w:rFonts w:cs="Times New Roman"/>
          <w:lang w:val="en-IE"/>
        </w:rPr>
        <w:t xml:space="preserve"> </w:t>
      </w:r>
      <w:r w:rsidR="004F55E2">
        <w:rPr>
          <w:rFonts w:cs="Times New Roman"/>
          <w:lang w:val="en-IE"/>
        </w:rPr>
        <w:fldChar w:fldCharType="begin">
          <w:fldData xml:space="preserve">PEVuZE5vdGU+PENpdGU+PEF1dGhvcj5EaW5nPC9BdXRob3I+PFllYXI+MjAxNjwvWWVhcj48UmVj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</w:fldData>
        </w:fldChar>
      </w:r>
      <w:r w:rsidR="004F55E2">
        <w:rPr>
          <w:rFonts w:cs="Times New Roman"/>
          <w:lang w:val="en-IE"/>
        </w:rPr>
        <w:instrText xml:space="preserve"> ADDIN EN.CITE </w:instrText>
      </w:r>
      <w:r w:rsidR="004F55E2">
        <w:rPr>
          <w:rFonts w:cs="Times New Roman"/>
          <w:lang w:val="en-IE"/>
        </w:rPr>
        <w:fldChar w:fldCharType="begin">
          <w:fldData xml:space="preserve">PEVuZE5vdGU+PENpdGU+PEF1dGhvcj5EaW5nPC9BdXRob3I+PFllYXI+MjAxNjwvWWVhcj48UmVj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</w:fldData>
        </w:fldChar>
      </w:r>
      <w:r w:rsidR="004F55E2">
        <w:rPr>
          <w:rFonts w:cs="Times New Roman"/>
          <w:lang w:val="en-IE"/>
        </w:rPr>
        <w:instrText xml:space="preserve"> ADDIN EN.CITE.DATA </w:instrText>
      </w:r>
      <w:r w:rsidR="004F55E2">
        <w:rPr>
          <w:rFonts w:cs="Times New Roman"/>
          <w:lang w:val="en-IE"/>
        </w:rPr>
      </w:r>
      <w:r w:rsidR="004F55E2">
        <w:rPr>
          <w:rFonts w:cs="Times New Roman"/>
          <w:lang w:val="en-IE"/>
        </w:rPr>
        <w:fldChar w:fldCharType="end"/>
      </w:r>
      <w:r w:rsidR="004F55E2">
        <w:rPr>
          <w:rFonts w:cs="Times New Roman"/>
          <w:lang w:val="en-IE"/>
        </w:rPr>
      </w:r>
      <w:r w:rsidR="004F55E2">
        <w:rPr>
          <w:rFonts w:cs="Times New Roman"/>
          <w:lang w:val="en-IE"/>
        </w:rPr>
        <w:fldChar w:fldCharType="separate"/>
      </w:r>
      <w:r w:rsidR="004F55E2">
        <w:rPr>
          <w:rFonts w:cs="Times New Roman"/>
          <w:noProof/>
          <w:lang w:val="en-IE"/>
        </w:rPr>
        <w:t>[1, 2]</w:t>
      </w:r>
      <w:r w:rsidR="004F55E2">
        <w:rPr>
          <w:rFonts w:cs="Times New Roman"/>
          <w:lang w:val="en-IE"/>
        </w:rPr>
        <w:fldChar w:fldCharType="end"/>
      </w:r>
      <w:r w:rsidRPr="00DA679B">
        <w:rPr>
          <w:rFonts w:cs="Times New Roman"/>
          <w:lang w:val="en-IE"/>
        </w:rPr>
        <w:t xml:space="preserve"> to adjust for unmeasured confoundin</w:t>
      </w:r>
      <w:r>
        <w:rPr>
          <w:rFonts w:cs="Times New Roman"/>
          <w:lang w:val="en-IE"/>
        </w:rPr>
        <w:t xml:space="preserve">g. Parameters for these estimates were produced for the 3 different scenarios reflecting different scenarios for the level of knowledge around the unmeasured </w:t>
      </w:r>
      <w:r>
        <w:rPr>
          <w:rFonts w:cs="Times New Roman"/>
          <w:lang w:val="en-IE"/>
        </w:rPr>
        <w:t>confounding (</w:t>
      </w:r>
      <w:r>
        <w:rPr>
          <w:rFonts w:cs="Times New Roman"/>
          <w:lang w:val="en-IE"/>
        </w:rPr>
        <w:fldChar w:fldCharType="begin"/>
      </w:r>
      <w:r>
        <w:rPr>
          <w:rFonts w:cs="Times New Roman"/>
          <w:lang w:val="en-IE"/>
        </w:rPr>
        <w:instrText xml:space="preserve"> REF _Ref83298241 \h </w:instrText>
      </w:r>
      <w:r>
        <w:rPr>
          <w:rFonts w:cs="Times New Roman"/>
          <w:lang w:val="en-IE"/>
        </w:rPr>
      </w:r>
      <w:r>
        <w:rPr>
          <w:rFonts w:cs="Times New Roman"/>
          <w:lang w:val="en-IE"/>
        </w:rPr>
        <w:fldChar w:fldCharType="separate"/>
      </w:r>
      <w:r>
        <w:t xml:space="preserve">Table </w:t>
      </w:r>
      <w:r>
        <w:rPr>
          <w:noProof/>
        </w:rPr>
        <w:t>1</w:t>
      </w:r>
      <w:r>
        <w:rPr>
          <w:rFonts w:cs="Times New Roman"/>
          <w:lang w:val="en-IE"/>
        </w:rPr>
        <w:fldChar w:fldCharType="end"/>
      </w:r>
      <w:r>
        <w:rPr>
          <w:rFonts w:cs="Times New Roman"/>
          <w:lang w:val="en-IE"/>
        </w:rPr>
        <w:t xml:space="preserve"> in main text). </w:t>
      </w:r>
    </w:p>
    <w:p w14:paraId="40A3464A" w14:textId="5C60786E" w:rsidR="007E172C" w:rsidRDefault="007E172C" w:rsidP="007E172C">
      <w:pPr>
        <w:pStyle w:val="Caption"/>
        <w:keepNext/>
      </w:pPr>
      <w:r>
        <w:t xml:space="preserve">Table </w:t>
      </w:r>
      <w:r>
        <w:fldChar w:fldCharType="begin"/>
      </w:r>
      <w:r>
        <w:instrText xml:space="preserve"> SEQ Table \* ARABIC </w:instrText>
      </w:r>
      <w:r>
        <w:fldChar w:fldCharType="separate"/>
      </w:r>
      <w:r>
        <w:rPr>
          <w:noProof/>
        </w:rPr>
        <w:t>2</w:t>
      </w:r>
      <w:r>
        <w:fldChar w:fldCharType="end"/>
      </w:r>
      <w:r>
        <w:t>. HR values used in the model for different scenarios and methods</w:t>
      </w:r>
    </w:p>
    <w:tbl>
      <w:tblPr>
        <w:tblW w:w="9025" w:type="dxa"/>
        <w:tblInd w:w="-6" w:type="dxa"/>
        <w:tblLayout w:type="fixed"/>
        <w:tblCellMar>
          <w:left w:w="0" w:type="dxa"/>
          <w:right w:w="0" w:type="dxa"/>
        </w:tblCellMar>
        <w:tblLook w:val="01E0" w:firstRow="1" w:lastRow="1" w:firstColumn="1" w:lastColumn="1" w:noHBand="0" w:noVBand="0"/>
      </w:tblPr>
      <w:tblGrid>
        <w:gridCol w:w="1790"/>
        <w:gridCol w:w="2365"/>
        <w:gridCol w:w="2435"/>
        <w:gridCol w:w="2435"/>
      </w:tblGrid>
      <w:tr w:rsidR="007E172C" w:rsidRPr="00D539D9" w14:paraId="25ECD3AB" w14:textId="77777777" w:rsidTr="00EB44B1">
        <w:trPr>
          <w:trHeight w:hRule="exact" w:val="885"/>
        </w:trPr>
        <w:tc>
          <w:tcPr>
            <w:tcW w:w="1790" w:type="dxa"/>
            <w:tcBorders>
              <w:top w:val="single" w:sz="5" w:space="0" w:color="000000"/>
              <w:left w:val="single" w:sz="5" w:space="0" w:color="000000"/>
              <w:bottom w:val="single" w:sz="5" w:space="0" w:color="000000"/>
              <w:right w:val="single" w:sz="5" w:space="0" w:color="000000"/>
            </w:tcBorders>
            <w:vAlign w:val="center"/>
          </w:tcPr>
          <w:p w14:paraId="52CC6A56" w14:textId="77777777" w:rsidR="007E172C" w:rsidRPr="00D539D9" w:rsidRDefault="007E172C" w:rsidP="008A4FBA">
            <w:pPr>
              <w:spacing w:before="16"/>
              <w:ind w:left="120" w:right="-56"/>
              <w:rPr>
                <w:rFonts w:ascii="Arial" w:hAnsi="Arial" w:cs="Arial"/>
                <w:b/>
                <w:sz w:val="18"/>
                <w:szCs w:val="18"/>
              </w:rPr>
            </w:pPr>
            <w:r>
              <w:rPr>
                <w:rFonts w:ascii="Arial" w:eastAsia="Arial" w:hAnsi="Arial" w:cs="Arial"/>
                <w:b/>
                <w:sz w:val="18"/>
                <w:szCs w:val="18"/>
              </w:rPr>
              <w:t>Input</w:t>
            </w:r>
          </w:p>
        </w:tc>
        <w:tc>
          <w:tcPr>
            <w:tcW w:w="2365" w:type="dxa"/>
            <w:tcBorders>
              <w:top w:val="single" w:sz="5" w:space="0" w:color="000000"/>
              <w:left w:val="single" w:sz="5" w:space="0" w:color="000000"/>
              <w:bottom w:val="single" w:sz="5" w:space="0" w:color="000000"/>
              <w:right w:val="single" w:sz="5" w:space="0" w:color="000000"/>
            </w:tcBorders>
            <w:vAlign w:val="center"/>
          </w:tcPr>
          <w:p w14:paraId="07183CD6" w14:textId="77777777" w:rsidR="007E172C" w:rsidRDefault="007E172C" w:rsidP="008A4FBA">
            <w:pPr>
              <w:spacing w:before="16"/>
              <w:ind w:left="120" w:right="-56"/>
              <w:jc w:val="center"/>
              <w:rPr>
                <w:rFonts w:ascii="Arial" w:eastAsia="Arial" w:hAnsi="Arial" w:cs="Arial"/>
                <w:b/>
                <w:sz w:val="18"/>
                <w:szCs w:val="18"/>
              </w:rPr>
            </w:pPr>
            <w:r w:rsidRPr="00D539D9">
              <w:rPr>
                <w:rFonts w:ascii="Arial" w:eastAsia="Arial" w:hAnsi="Arial" w:cs="Arial"/>
                <w:b/>
                <w:sz w:val="18"/>
                <w:szCs w:val="18"/>
              </w:rPr>
              <w:t>Mean</w:t>
            </w:r>
            <w:r>
              <w:rPr>
                <w:rFonts w:ascii="Arial" w:eastAsia="Arial" w:hAnsi="Arial" w:cs="Arial"/>
                <w:b/>
                <w:sz w:val="18"/>
                <w:szCs w:val="18"/>
              </w:rPr>
              <w:t xml:space="preserve"> - Good Knowledge</w:t>
            </w:r>
          </w:p>
          <w:p w14:paraId="47E29E2E" w14:textId="77777777" w:rsidR="007E172C" w:rsidRPr="00EB44B1" w:rsidRDefault="007E172C" w:rsidP="008A4FBA">
            <w:pPr>
              <w:spacing w:before="16"/>
              <w:ind w:left="120" w:right="-56"/>
              <w:jc w:val="center"/>
              <w:rPr>
                <w:rFonts w:ascii="Arial" w:eastAsia="Arial" w:hAnsi="Arial" w:cs="Arial"/>
                <w:b/>
                <w:sz w:val="18"/>
                <w:szCs w:val="18"/>
              </w:rPr>
            </w:pPr>
            <w:r>
              <w:rPr>
                <w:rFonts w:ascii="Arial" w:eastAsia="Arial" w:hAnsi="Arial" w:cs="Arial"/>
                <w:b/>
                <w:sz w:val="18"/>
                <w:szCs w:val="18"/>
              </w:rPr>
              <w:t>(Lower, Upper limit)</w:t>
            </w:r>
          </w:p>
        </w:tc>
        <w:tc>
          <w:tcPr>
            <w:tcW w:w="2435" w:type="dxa"/>
            <w:tcBorders>
              <w:top w:val="single" w:sz="5" w:space="0" w:color="000000"/>
              <w:left w:val="single" w:sz="5" w:space="0" w:color="000000"/>
              <w:bottom w:val="single" w:sz="5" w:space="0" w:color="000000"/>
              <w:right w:val="single" w:sz="5" w:space="0" w:color="000000"/>
            </w:tcBorders>
          </w:tcPr>
          <w:p w14:paraId="5BDB2CA4" w14:textId="77777777" w:rsidR="007E172C" w:rsidRDefault="007E172C" w:rsidP="008A4FBA">
            <w:pPr>
              <w:spacing w:before="16"/>
              <w:ind w:left="120" w:right="-56"/>
              <w:jc w:val="center"/>
              <w:rPr>
                <w:rFonts w:ascii="Arial" w:eastAsia="Arial" w:hAnsi="Arial" w:cs="Arial"/>
                <w:b/>
                <w:sz w:val="18"/>
                <w:szCs w:val="18"/>
              </w:rPr>
            </w:pPr>
            <w:r w:rsidRPr="00D539D9">
              <w:rPr>
                <w:rFonts w:ascii="Arial" w:eastAsia="Arial" w:hAnsi="Arial" w:cs="Arial"/>
                <w:b/>
                <w:sz w:val="18"/>
                <w:szCs w:val="18"/>
              </w:rPr>
              <w:t>Mean</w:t>
            </w:r>
            <w:r>
              <w:rPr>
                <w:rFonts w:ascii="Arial" w:eastAsia="Arial" w:hAnsi="Arial" w:cs="Arial"/>
                <w:b/>
                <w:sz w:val="18"/>
                <w:szCs w:val="18"/>
              </w:rPr>
              <w:t xml:space="preserve"> – Poor knowledge</w:t>
            </w:r>
          </w:p>
          <w:p w14:paraId="024C78EE" w14:textId="77777777" w:rsidR="007E172C" w:rsidRPr="00D539D9" w:rsidRDefault="007E172C" w:rsidP="008A4FBA">
            <w:pPr>
              <w:spacing w:before="16"/>
              <w:ind w:left="120" w:right="-56"/>
              <w:jc w:val="center"/>
              <w:rPr>
                <w:rFonts w:ascii="Arial" w:eastAsia="Arial" w:hAnsi="Arial" w:cs="Arial"/>
                <w:b/>
                <w:sz w:val="18"/>
                <w:szCs w:val="18"/>
              </w:rPr>
            </w:pPr>
            <w:r>
              <w:rPr>
                <w:rFonts w:ascii="Arial" w:eastAsia="Arial" w:hAnsi="Arial" w:cs="Arial"/>
                <w:b/>
                <w:sz w:val="18"/>
                <w:szCs w:val="18"/>
              </w:rPr>
              <w:t>(Lower, Upper limit)</w:t>
            </w:r>
          </w:p>
        </w:tc>
        <w:tc>
          <w:tcPr>
            <w:tcW w:w="2435" w:type="dxa"/>
            <w:tcBorders>
              <w:top w:val="single" w:sz="5" w:space="0" w:color="000000"/>
              <w:left w:val="single" w:sz="5" w:space="0" w:color="000000"/>
              <w:bottom w:val="single" w:sz="5" w:space="0" w:color="000000"/>
              <w:right w:val="single" w:sz="5" w:space="0" w:color="000000"/>
            </w:tcBorders>
          </w:tcPr>
          <w:p w14:paraId="4AC804C6" w14:textId="77777777" w:rsidR="007E172C" w:rsidRDefault="007E172C" w:rsidP="008A4FBA">
            <w:pPr>
              <w:spacing w:before="16"/>
              <w:ind w:left="120" w:right="-56"/>
              <w:jc w:val="center"/>
              <w:rPr>
                <w:rFonts w:ascii="Arial" w:eastAsia="Arial" w:hAnsi="Arial" w:cs="Arial"/>
                <w:b/>
                <w:sz w:val="18"/>
                <w:szCs w:val="18"/>
              </w:rPr>
            </w:pPr>
            <w:r w:rsidRPr="00D539D9">
              <w:rPr>
                <w:rFonts w:ascii="Arial" w:eastAsia="Arial" w:hAnsi="Arial" w:cs="Arial"/>
                <w:b/>
                <w:sz w:val="18"/>
                <w:szCs w:val="18"/>
              </w:rPr>
              <w:t>Mean</w:t>
            </w:r>
            <w:r>
              <w:rPr>
                <w:rFonts w:ascii="Arial" w:eastAsia="Arial" w:hAnsi="Arial" w:cs="Arial"/>
                <w:b/>
                <w:sz w:val="18"/>
                <w:szCs w:val="18"/>
              </w:rPr>
              <w:t xml:space="preserve"> – Incorrect knowledge</w:t>
            </w:r>
          </w:p>
          <w:p w14:paraId="766BF041" w14:textId="77777777" w:rsidR="007E172C" w:rsidRPr="00D539D9" w:rsidRDefault="007E172C" w:rsidP="008A4FBA">
            <w:pPr>
              <w:spacing w:before="16"/>
              <w:ind w:left="120" w:right="-56"/>
              <w:jc w:val="center"/>
              <w:rPr>
                <w:rFonts w:ascii="Arial" w:eastAsia="Arial" w:hAnsi="Arial" w:cs="Arial"/>
                <w:b/>
                <w:sz w:val="18"/>
                <w:szCs w:val="18"/>
              </w:rPr>
            </w:pPr>
            <w:r>
              <w:rPr>
                <w:rFonts w:ascii="Arial" w:eastAsia="Arial" w:hAnsi="Arial" w:cs="Arial"/>
                <w:b/>
                <w:sz w:val="18"/>
                <w:szCs w:val="18"/>
              </w:rPr>
              <w:t>(Lower, Upper limit)</w:t>
            </w:r>
          </w:p>
        </w:tc>
      </w:tr>
      <w:tr w:rsidR="007E172C" w:rsidRPr="00D539D9" w14:paraId="074013E3" w14:textId="77777777" w:rsidTr="00EB44B1">
        <w:trPr>
          <w:trHeight w:hRule="exact" w:val="868"/>
        </w:trPr>
        <w:tc>
          <w:tcPr>
            <w:tcW w:w="1790" w:type="dxa"/>
            <w:tcBorders>
              <w:top w:val="single" w:sz="5" w:space="0" w:color="000000"/>
              <w:left w:val="single" w:sz="5" w:space="0" w:color="000000"/>
              <w:bottom w:val="single" w:sz="5" w:space="0" w:color="000000"/>
              <w:right w:val="single" w:sz="5" w:space="0" w:color="000000"/>
            </w:tcBorders>
            <w:vAlign w:val="center"/>
          </w:tcPr>
          <w:p w14:paraId="098109E3" w14:textId="77777777" w:rsidR="007E172C" w:rsidRDefault="007E172C" w:rsidP="008A4FBA">
            <w:pPr>
              <w:spacing w:before="3" w:line="240" w:lineRule="exact"/>
              <w:ind w:left="102" w:right="227"/>
              <w:jc w:val="left"/>
              <w:rPr>
                <w:rFonts w:ascii="Arial" w:eastAsia="Arial" w:hAnsi="Arial" w:cs="Arial"/>
                <w:sz w:val="18"/>
                <w:szCs w:val="18"/>
              </w:rPr>
            </w:pPr>
            <w:r>
              <w:rPr>
                <w:rFonts w:ascii="Arial" w:eastAsia="Arial" w:hAnsi="Arial" w:cs="Arial"/>
                <w:sz w:val="18"/>
                <w:szCs w:val="18"/>
              </w:rPr>
              <w:t xml:space="preserve">OS HR (unadjusted) </w:t>
            </w:r>
          </w:p>
        </w:tc>
        <w:tc>
          <w:tcPr>
            <w:tcW w:w="2365" w:type="dxa"/>
            <w:tcBorders>
              <w:top w:val="single" w:sz="5" w:space="0" w:color="000000"/>
              <w:left w:val="single" w:sz="5" w:space="0" w:color="000000"/>
              <w:bottom w:val="single" w:sz="5" w:space="0" w:color="000000"/>
              <w:right w:val="single" w:sz="5" w:space="0" w:color="000000"/>
            </w:tcBorders>
            <w:vAlign w:val="center"/>
          </w:tcPr>
          <w:p w14:paraId="3664F6DF" w14:textId="5D6B2CFA" w:rsidR="007E172C" w:rsidRDefault="00F44704" w:rsidP="008A4FBA">
            <w:pPr>
              <w:jc w:val="center"/>
              <w:rPr>
                <w:rFonts w:ascii="Arial" w:hAnsi="Arial" w:cs="Arial"/>
                <w:sz w:val="18"/>
                <w:szCs w:val="18"/>
              </w:rPr>
            </w:pPr>
            <w:r w:rsidRPr="009A3031">
              <w:rPr>
                <w:rFonts w:ascii="Arial" w:hAnsi="Arial" w:cs="Arial"/>
                <w:sz w:val="18"/>
                <w:szCs w:val="18"/>
              </w:rPr>
              <w:t>0.691</w:t>
            </w:r>
            <w:r>
              <w:rPr>
                <w:rFonts w:ascii="Arial" w:hAnsi="Arial" w:cs="Arial"/>
                <w:sz w:val="18"/>
                <w:szCs w:val="18"/>
              </w:rPr>
              <w:t xml:space="preserve"> (</w:t>
            </w:r>
            <w:r w:rsidRPr="009A3031">
              <w:rPr>
                <w:rFonts w:ascii="Arial" w:hAnsi="Arial" w:cs="Arial"/>
                <w:sz w:val="18"/>
                <w:szCs w:val="18"/>
              </w:rPr>
              <w:t>0.528</w:t>
            </w:r>
            <w:r>
              <w:rPr>
                <w:rFonts w:ascii="Arial" w:hAnsi="Arial" w:cs="Arial"/>
                <w:sz w:val="18"/>
                <w:szCs w:val="18"/>
              </w:rPr>
              <w:t>-</w:t>
            </w:r>
            <w:r w:rsidRPr="009A3031">
              <w:rPr>
                <w:rFonts w:ascii="Arial" w:hAnsi="Arial" w:cs="Arial"/>
                <w:sz w:val="18"/>
                <w:szCs w:val="18"/>
              </w:rPr>
              <w:t>0.904</w:t>
            </w:r>
            <w:r>
              <w:rPr>
                <w:rFonts w:ascii="Arial" w:hAnsi="Arial" w:cs="Arial"/>
                <w:sz w:val="18"/>
                <w:szCs w:val="18"/>
              </w:rPr>
              <w:t>)</w:t>
            </w:r>
          </w:p>
        </w:tc>
        <w:tc>
          <w:tcPr>
            <w:tcW w:w="2435" w:type="dxa"/>
            <w:tcBorders>
              <w:top w:val="single" w:sz="5" w:space="0" w:color="000000"/>
              <w:left w:val="single" w:sz="5" w:space="0" w:color="000000"/>
              <w:bottom w:val="single" w:sz="5" w:space="0" w:color="000000"/>
              <w:right w:val="single" w:sz="5" w:space="0" w:color="000000"/>
            </w:tcBorders>
            <w:vAlign w:val="center"/>
          </w:tcPr>
          <w:p w14:paraId="5A5FA5B2" w14:textId="61F97776" w:rsidR="007E172C" w:rsidRDefault="009A3031" w:rsidP="008A4FBA">
            <w:pPr>
              <w:jc w:val="center"/>
              <w:rPr>
                <w:rFonts w:ascii="Arial" w:hAnsi="Arial" w:cs="Arial"/>
                <w:sz w:val="18"/>
                <w:szCs w:val="18"/>
              </w:rPr>
            </w:pPr>
            <w:r w:rsidRPr="009A3031">
              <w:rPr>
                <w:rFonts w:ascii="Arial" w:hAnsi="Arial" w:cs="Arial"/>
                <w:sz w:val="18"/>
                <w:szCs w:val="18"/>
              </w:rPr>
              <w:t>0.691</w:t>
            </w:r>
            <w:r w:rsidR="00D83345">
              <w:rPr>
                <w:rFonts w:ascii="Arial" w:hAnsi="Arial" w:cs="Arial"/>
                <w:sz w:val="18"/>
                <w:szCs w:val="18"/>
              </w:rPr>
              <w:t xml:space="preserve"> (</w:t>
            </w:r>
            <w:r w:rsidRPr="009A3031">
              <w:rPr>
                <w:rFonts w:ascii="Arial" w:hAnsi="Arial" w:cs="Arial"/>
                <w:sz w:val="18"/>
                <w:szCs w:val="18"/>
              </w:rPr>
              <w:t>0.528</w:t>
            </w:r>
            <w:r w:rsidR="00D83345">
              <w:rPr>
                <w:rFonts w:ascii="Arial" w:hAnsi="Arial" w:cs="Arial"/>
                <w:sz w:val="18"/>
                <w:szCs w:val="18"/>
              </w:rPr>
              <w:t>-</w:t>
            </w:r>
            <w:r w:rsidRPr="009A3031">
              <w:rPr>
                <w:rFonts w:ascii="Arial" w:hAnsi="Arial" w:cs="Arial"/>
                <w:sz w:val="18"/>
                <w:szCs w:val="18"/>
              </w:rPr>
              <w:t>0.904</w:t>
            </w:r>
            <w:r w:rsidR="00D83345">
              <w:rPr>
                <w:rFonts w:ascii="Arial" w:hAnsi="Arial" w:cs="Arial"/>
                <w:sz w:val="18"/>
                <w:szCs w:val="18"/>
              </w:rPr>
              <w:t>)</w:t>
            </w:r>
          </w:p>
        </w:tc>
        <w:tc>
          <w:tcPr>
            <w:tcW w:w="2435" w:type="dxa"/>
            <w:tcBorders>
              <w:top w:val="single" w:sz="5" w:space="0" w:color="000000"/>
              <w:left w:val="single" w:sz="5" w:space="0" w:color="000000"/>
              <w:bottom w:val="single" w:sz="5" w:space="0" w:color="000000"/>
              <w:right w:val="single" w:sz="5" w:space="0" w:color="000000"/>
            </w:tcBorders>
            <w:vAlign w:val="center"/>
          </w:tcPr>
          <w:p w14:paraId="226491F4" w14:textId="55CE1F8A" w:rsidR="007E172C" w:rsidRDefault="006C0FFB" w:rsidP="008A4FBA">
            <w:pPr>
              <w:jc w:val="center"/>
              <w:rPr>
                <w:rFonts w:ascii="Arial" w:hAnsi="Arial" w:cs="Arial"/>
                <w:sz w:val="18"/>
                <w:szCs w:val="18"/>
              </w:rPr>
            </w:pPr>
            <w:r w:rsidRPr="006C0FFB">
              <w:rPr>
                <w:rFonts w:ascii="Arial" w:hAnsi="Arial" w:cs="Arial"/>
                <w:sz w:val="18"/>
                <w:szCs w:val="18"/>
              </w:rPr>
              <w:t>0.691</w:t>
            </w:r>
            <w:r w:rsidR="008B78B7">
              <w:rPr>
                <w:rFonts w:ascii="Arial" w:hAnsi="Arial" w:cs="Arial"/>
                <w:sz w:val="18"/>
                <w:szCs w:val="18"/>
              </w:rPr>
              <w:t xml:space="preserve"> (</w:t>
            </w:r>
            <w:r w:rsidRPr="006C0FFB">
              <w:rPr>
                <w:rFonts w:ascii="Arial" w:hAnsi="Arial" w:cs="Arial"/>
                <w:sz w:val="18"/>
                <w:szCs w:val="18"/>
              </w:rPr>
              <w:t>0.528</w:t>
            </w:r>
            <w:r w:rsidR="008B78B7">
              <w:rPr>
                <w:rFonts w:ascii="Arial" w:hAnsi="Arial" w:cs="Arial"/>
                <w:sz w:val="18"/>
                <w:szCs w:val="18"/>
              </w:rPr>
              <w:t>-</w:t>
            </w:r>
            <w:r w:rsidRPr="006C0FFB">
              <w:rPr>
                <w:rFonts w:ascii="Arial" w:hAnsi="Arial" w:cs="Arial"/>
                <w:sz w:val="18"/>
                <w:szCs w:val="18"/>
              </w:rPr>
              <w:t>0.904</w:t>
            </w:r>
            <w:r w:rsidR="008B78B7">
              <w:rPr>
                <w:rFonts w:ascii="Arial" w:hAnsi="Arial" w:cs="Arial"/>
                <w:sz w:val="18"/>
                <w:szCs w:val="18"/>
              </w:rPr>
              <w:t>)</w:t>
            </w:r>
          </w:p>
        </w:tc>
      </w:tr>
      <w:tr w:rsidR="007E172C" w:rsidRPr="00D539D9" w14:paraId="425D7A5E" w14:textId="77777777" w:rsidTr="00EB44B1">
        <w:trPr>
          <w:trHeight w:hRule="exact" w:val="868"/>
        </w:trPr>
        <w:tc>
          <w:tcPr>
            <w:tcW w:w="1790" w:type="dxa"/>
            <w:tcBorders>
              <w:top w:val="single" w:sz="5" w:space="0" w:color="000000"/>
              <w:left w:val="single" w:sz="5" w:space="0" w:color="000000"/>
              <w:bottom w:val="single" w:sz="5" w:space="0" w:color="000000"/>
              <w:right w:val="single" w:sz="5" w:space="0" w:color="000000"/>
            </w:tcBorders>
            <w:vAlign w:val="center"/>
          </w:tcPr>
          <w:p w14:paraId="4047A190" w14:textId="77777777" w:rsidR="007E172C" w:rsidRDefault="007E172C" w:rsidP="008A4FBA">
            <w:pPr>
              <w:spacing w:before="3" w:line="240" w:lineRule="exact"/>
              <w:ind w:left="102" w:right="227"/>
              <w:jc w:val="left"/>
              <w:rPr>
                <w:rFonts w:ascii="Arial" w:eastAsia="Arial" w:hAnsi="Arial" w:cs="Arial"/>
                <w:sz w:val="18"/>
                <w:szCs w:val="18"/>
              </w:rPr>
            </w:pPr>
            <w:r>
              <w:rPr>
                <w:rFonts w:ascii="Arial" w:eastAsia="Arial" w:hAnsi="Arial" w:cs="Arial"/>
                <w:sz w:val="18"/>
                <w:szCs w:val="18"/>
              </w:rPr>
              <w:t>OS HR (True)</w:t>
            </w:r>
          </w:p>
        </w:tc>
        <w:tc>
          <w:tcPr>
            <w:tcW w:w="2365" w:type="dxa"/>
            <w:tcBorders>
              <w:top w:val="single" w:sz="5" w:space="0" w:color="000000"/>
              <w:left w:val="single" w:sz="5" w:space="0" w:color="000000"/>
              <w:bottom w:val="single" w:sz="5" w:space="0" w:color="000000"/>
              <w:right w:val="single" w:sz="5" w:space="0" w:color="000000"/>
            </w:tcBorders>
            <w:vAlign w:val="center"/>
          </w:tcPr>
          <w:p w14:paraId="170DF0B3" w14:textId="2E4D5F2E" w:rsidR="007E172C" w:rsidRDefault="00F44704" w:rsidP="008A4FBA">
            <w:pPr>
              <w:jc w:val="center"/>
              <w:rPr>
                <w:rFonts w:ascii="Arial" w:hAnsi="Arial" w:cs="Arial"/>
                <w:sz w:val="18"/>
                <w:szCs w:val="18"/>
              </w:rPr>
            </w:pPr>
            <w:r w:rsidRPr="0073630C">
              <w:rPr>
                <w:rFonts w:ascii="Arial" w:hAnsi="Arial" w:cs="Arial"/>
                <w:sz w:val="18"/>
                <w:szCs w:val="18"/>
              </w:rPr>
              <w:t>0.534</w:t>
            </w:r>
            <w:r>
              <w:rPr>
                <w:rFonts w:ascii="Arial" w:hAnsi="Arial" w:cs="Arial"/>
                <w:sz w:val="18"/>
                <w:szCs w:val="18"/>
              </w:rPr>
              <w:t xml:space="preserve"> (</w:t>
            </w:r>
            <w:r w:rsidRPr="0073630C">
              <w:rPr>
                <w:rFonts w:ascii="Arial" w:hAnsi="Arial" w:cs="Arial"/>
                <w:sz w:val="18"/>
                <w:szCs w:val="18"/>
              </w:rPr>
              <w:t>0.405</w:t>
            </w:r>
            <w:r>
              <w:rPr>
                <w:rFonts w:ascii="Arial" w:hAnsi="Arial" w:cs="Arial"/>
                <w:sz w:val="18"/>
                <w:szCs w:val="18"/>
              </w:rPr>
              <w:t>-</w:t>
            </w:r>
            <w:r w:rsidRPr="0073630C">
              <w:rPr>
                <w:rFonts w:ascii="Arial" w:hAnsi="Arial" w:cs="Arial"/>
                <w:sz w:val="18"/>
                <w:szCs w:val="18"/>
              </w:rPr>
              <w:t>0.704</w:t>
            </w:r>
            <w:r>
              <w:rPr>
                <w:rFonts w:ascii="Arial" w:hAnsi="Arial" w:cs="Arial"/>
                <w:sz w:val="18"/>
                <w:szCs w:val="18"/>
              </w:rPr>
              <w:t>)</w:t>
            </w:r>
          </w:p>
        </w:tc>
        <w:tc>
          <w:tcPr>
            <w:tcW w:w="2435" w:type="dxa"/>
            <w:tcBorders>
              <w:top w:val="single" w:sz="5" w:space="0" w:color="000000"/>
              <w:left w:val="single" w:sz="5" w:space="0" w:color="000000"/>
              <w:bottom w:val="single" w:sz="5" w:space="0" w:color="000000"/>
              <w:right w:val="single" w:sz="5" w:space="0" w:color="000000"/>
            </w:tcBorders>
            <w:vAlign w:val="center"/>
          </w:tcPr>
          <w:p w14:paraId="0CD7BF46" w14:textId="1445130B" w:rsidR="007E172C" w:rsidRDefault="0073630C" w:rsidP="008A4FBA">
            <w:pPr>
              <w:jc w:val="center"/>
              <w:rPr>
                <w:rFonts w:ascii="Arial" w:hAnsi="Arial" w:cs="Arial"/>
                <w:sz w:val="18"/>
                <w:szCs w:val="18"/>
              </w:rPr>
            </w:pPr>
            <w:r w:rsidRPr="0073630C">
              <w:rPr>
                <w:rFonts w:ascii="Arial" w:hAnsi="Arial" w:cs="Arial"/>
                <w:sz w:val="18"/>
                <w:szCs w:val="18"/>
              </w:rPr>
              <w:t>0.534</w:t>
            </w:r>
            <w:r w:rsidR="00D83345">
              <w:rPr>
                <w:rFonts w:ascii="Arial" w:hAnsi="Arial" w:cs="Arial"/>
                <w:sz w:val="18"/>
                <w:szCs w:val="18"/>
              </w:rPr>
              <w:t xml:space="preserve"> (</w:t>
            </w:r>
            <w:r w:rsidRPr="0073630C">
              <w:rPr>
                <w:rFonts w:ascii="Arial" w:hAnsi="Arial" w:cs="Arial"/>
                <w:sz w:val="18"/>
                <w:szCs w:val="18"/>
              </w:rPr>
              <w:t>0.405</w:t>
            </w:r>
            <w:r w:rsidR="00D83345">
              <w:rPr>
                <w:rFonts w:ascii="Arial" w:hAnsi="Arial" w:cs="Arial"/>
                <w:sz w:val="18"/>
                <w:szCs w:val="18"/>
              </w:rPr>
              <w:t>-</w:t>
            </w:r>
            <w:r w:rsidRPr="0073630C">
              <w:rPr>
                <w:rFonts w:ascii="Arial" w:hAnsi="Arial" w:cs="Arial"/>
                <w:sz w:val="18"/>
                <w:szCs w:val="18"/>
              </w:rPr>
              <w:t>0.704</w:t>
            </w:r>
            <w:r w:rsidR="00D83345">
              <w:rPr>
                <w:rFonts w:ascii="Arial" w:hAnsi="Arial" w:cs="Arial"/>
                <w:sz w:val="18"/>
                <w:szCs w:val="18"/>
              </w:rPr>
              <w:t>)</w:t>
            </w:r>
          </w:p>
        </w:tc>
        <w:tc>
          <w:tcPr>
            <w:tcW w:w="2435" w:type="dxa"/>
            <w:tcBorders>
              <w:top w:val="single" w:sz="5" w:space="0" w:color="000000"/>
              <w:left w:val="single" w:sz="5" w:space="0" w:color="000000"/>
              <w:bottom w:val="single" w:sz="5" w:space="0" w:color="000000"/>
              <w:right w:val="single" w:sz="5" w:space="0" w:color="000000"/>
            </w:tcBorders>
            <w:vAlign w:val="center"/>
          </w:tcPr>
          <w:p w14:paraId="4BD19567" w14:textId="7349F5B3" w:rsidR="007E172C" w:rsidRDefault="006C0FFB" w:rsidP="008A4FBA">
            <w:pPr>
              <w:jc w:val="center"/>
              <w:rPr>
                <w:rFonts w:ascii="Arial" w:hAnsi="Arial" w:cs="Arial"/>
                <w:sz w:val="18"/>
                <w:szCs w:val="18"/>
              </w:rPr>
            </w:pPr>
            <w:r w:rsidRPr="006C0FFB">
              <w:rPr>
                <w:rFonts w:ascii="Arial" w:hAnsi="Arial" w:cs="Arial"/>
                <w:sz w:val="18"/>
                <w:szCs w:val="18"/>
              </w:rPr>
              <w:t>0.534</w:t>
            </w:r>
            <w:r w:rsidR="008B78B7">
              <w:rPr>
                <w:rFonts w:ascii="Arial" w:hAnsi="Arial" w:cs="Arial"/>
                <w:sz w:val="18"/>
                <w:szCs w:val="18"/>
              </w:rPr>
              <w:t xml:space="preserve"> (</w:t>
            </w:r>
            <w:r w:rsidRPr="006C0FFB">
              <w:rPr>
                <w:rFonts w:ascii="Arial" w:hAnsi="Arial" w:cs="Arial"/>
                <w:sz w:val="18"/>
                <w:szCs w:val="18"/>
              </w:rPr>
              <w:t>0.405</w:t>
            </w:r>
            <w:r w:rsidR="008B78B7">
              <w:rPr>
                <w:rFonts w:ascii="Arial" w:hAnsi="Arial" w:cs="Arial"/>
                <w:sz w:val="18"/>
                <w:szCs w:val="18"/>
              </w:rPr>
              <w:t>-</w:t>
            </w:r>
            <w:r w:rsidRPr="006C0FFB">
              <w:rPr>
                <w:rFonts w:ascii="Arial" w:hAnsi="Arial" w:cs="Arial"/>
                <w:sz w:val="18"/>
                <w:szCs w:val="18"/>
              </w:rPr>
              <w:t>0.704</w:t>
            </w:r>
            <w:r w:rsidR="008B78B7">
              <w:rPr>
                <w:rFonts w:ascii="Arial" w:hAnsi="Arial" w:cs="Arial"/>
                <w:sz w:val="18"/>
                <w:szCs w:val="18"/>
              </w:rPr>
              <w:t>)</w:t>
            </w:r>
          </w:p>
        </w:tc>
      </w:tr>
      <w:tr w:rsidR="007E172C" w:rsidRPr="00D539D9" w14:paraId="309DFCFE" w14:textId="77777777" w:rsidTr="00EB44B1">
        <w:trPr>
          <w:trHeight w:hRule="exact" w:val="868"/>
        </w:trPr>
        <w:tc>
          <w:tcPr>
            <w:tcW w:w="1790" w:type="dxa"/>
            <w:tcBorders>
              <w:top w:val="single" w:sz="5" w:space="0" w:color="000000"/>
              <w:left w:val="single" w:sz="5" w:space="0" w:color="000000"/>
              <w:bottom w:val="single" w:sz="5" w:space="0" w:color="000000"/>
              <w:right w:val="single" w:sz="5" w:space="0" w:color="000000"/>
            </w:tcBorders>
            <w:vAlign w:val="center"/>
          </w:tcPr>
          <w:p w14:paraId="172C3BD9" w14:textId="77777777" w:rsidR="007E172C" w:rsidRDefault="007E172C" w:rsidP="008A4FBA">
            <w:pPr>
              <w:spacing w:before="3" w:line="240" w:lineRule="exact"/>
              <w:ind w:left="102" w:right="227"/>
              <w:jc w:val="left"/>
              <w:rPr>
                <w:rFonts w:ascii="Arial" w:eastAsia="Arial" w:hAnsi="Arial" w:cs="Arial"/>
                <w:sz w:val="18"/>
                <w:szCs w:val="18"/>
              </w:rPr>
            </w:pPr>
            <w:r>
              <w:rPr>
                <w:rFonts w:ascii="Arial" w:eastAsia="Arial" w:hAnsi="Arial" w:cs="Arial"/>
                <w:sz w:val="18"/>
                <w:szCs w:val="18"/>
              </w:rPr>
              <w:t>OS HR (Huang)</w:t>
            </w:r>
          </w:p>
        </w:tc>
        <w:tc>
          <w:tcPr>
            <w:tcW w:w="2365" w:type="dxa"/>
            <w:tcBorders>
              <w:top w:val="single" w:sz="5" w:space="0" w:color="000000"/>
              <w:left w:val="single" w:sz="5" w:space="0" w:color="000000"/>
              <w:bottom w:val="single" w:sz="5" w:space="0" w:color="000000"/>
              <w:right w:val="single" w:sz="5" w:space="0" w:color="000000"/>
            </w:tcBorders>
            <w:vAlign w:val="center"/>
          </w:tcPr>
          <w:p w14:paraId="1700A331" w14:textId="1B1512BC" w:rsidR="007E172C" w:rsidRDefault="004F30AA" w:rsidP="008A4FBA">
            <w:pPr>
              <w:jc w:val="center"/>
              <w:rPr>
                <w:rFonts w:ascii="Arial" w:hAnsi="Arial" w:cs="Arial"/>
                <w:sz w:val="18"/>
                <w:szCs w:val="18"/>
              </w:rPr>
            </w:pPr>
            <w:r w:rsidRPr="004F30AA">
              <w:rPr>
                <w:rFonts w:ascii="Arial" w:hAnsi="Arial" w:cs="Arial"/>
                <w:sz w:val="18"/>
                <w:szCs w:val="18"/>
              </w:rPr>
              <w:t>0.481</w:t>
            </w:r>
            <w:r w:rsidR="00F44704">
              <w:rPr>
                <w:rFonts w:ascii="Arial" w:hAnsi="Arial" w:cs="Arial"/>
                <w:sz w:val="18"/>
                <w:szCs w:val="18"/>
              </w:rPr>
              <w:t xml:space="preserve"> (</w:t>
            </w:r>
            <w:r w:rsidRPr="004F30AA">
              <w:rPr>
                <w:rFonts w:ascii="Arial" w:hAnsi="Arial" w:cs="Arial"/>
                <w:sz w:val="18"/>
                <w:szCs w:val="18"/>
              </w:rPr>
              <w:t>0.017</w:t>
            </w:r>
            <w:r w:rsidR="00F44704">
              <w:rPr>
                <w:rFonts w:ascii="Arial" w:hAnsi="Arial" w:cs="Arial"/>
                <w:sz w:val="18"/>
                <w:szCs w:val="18"/>
              </w:rPr>
              <w:t>-</w:t>
            </w:r>
            <w:r w:rsidRPr="004F30AA">
              <w:rPr>
                <w:rFonts w:ascii="Arial" w:hAnsi="Arial" w:cs="Arial"/>
                <w:sz w:val="18"/>
                <w:szCs w:val="18"/>
              </w:rPr>
              <w:t>0.868</w:t>
            </w:r>
            <w:r w:rsidR="00F44704">
              <w:rPr>
                <w:rFonts w:ascii="Arial" w:hAnsi="Arial" w:cs="Arial"/>
                <w:sz w:val="18"/>
                <w:szCs w:val="18"/>
              </w:rPr>
              <w:t>)</w:t>
            </w:r>
          </w:p>
        </w:tc>
        <w:tc>
          <w:tcPr>
            <w:tcW w:w="2435" w:type="dxa"/>
            <w:tcBorders>
              <w:top w:val="single" w:sz="5" w:space="0" w:color="000000"/>
              <w:left w:val="single" w:sz="5" w:space="0" w:color="000000"/>
              <w:bottom w:val="single" w:sz="5" w:space="0" w:color="000000"/>
              <w:right w:val="single" w:sz="5" w:space="0" w:color="000000"/>
            </w:tcBorders>
            <w:vAlign w:val="center"/>
          </w:tcPr>
          <w:p w14:paraId="0E813A7D" w14:textId="79269A92" w:rsidR="007E172C" w:rsidRDefault="0073630C" w:rsidP="008A4FBA">
            <w:pPr>
              <w:jc w:val="center"/>
              <w:rPr>
                <w:rFonts w:ascii="Arial" w:hAnsi="Arial" w:cs="Arial"/>
                <w:sz w:val="18"/>
                <w:szCs w:val="18"/>
              </w:rPr>
            </w:pPr>
            <w:r w:rsidRPr="0073630C">
              <w:rPr>
                <w:rFonts w:ascii="Arial" w:hAnsi="Arial" w:cs="Arial"/>
                <w:sz w:val="18"/>
                <w:szCs w:val="18"/>
              </w:rPr>
              <w:t>0.594</w:t>
            </w:r>
            <w:r w:rsidR="00D83345">
              <w:rPr>
                <w:rFonts w:ascii="Arial" w:hAnsi="Arial" w:cs="Arial"/>
                <w:sz w:val="18"/>
                <w:szCs w:val="18"/>
              </w:rPr>
              <w:t xml:space="preserve"> (</w:t>
            </w:r>
            <w:r w:rsidRPr="0073630C">
              <w:rPr>
                <w:rFonts w:ascii="Arial" w:hAnsi="Arial" w:cs="Arial"/>
                <w:sz w:val="18"/>
                <w:szCs w:val="18"/>
              </w:rPr>
              <w:t>0.217</w:t>
            </w:r>
            <w:r w:rsidR="00D83345">
              <w:rPr>
                <w:rFonts w:ascii="Arial" w:hAnsi="Arial" w:cs="Arial"/>
                <w:sz w:val="18"/>
                <w:szCs w:val="18"/>
              </w:rPr>
              <w:t>-</w:t>
            </w:r>
            <w:r w:rsidRPr="0073630C">
              <w:rPr>
                <w:rFonts w:ascii="Arial" w:hAnsi="Arial" w:cs="Arial"/>
                <w:sz w:val="18"/>
                <w:szCs w:val="18"/>
              </w:rPr>
              <w:t>0.930</w:t>
            </w:r>
            <w:r w:rsidR="00D83345">
              <w:rPr>
                <w:rFonts w:ascii="Arial" w:hAnsi="Arial" w:cs="Arial"/>
                <w:sz w:val="18"/>
                <w:szCs w:val="18"/>
              </w:rPr>
              <w:t>)</w:t>
            </w:r>
          </w:p>
        </w:tc>
        <w:tc>
          <w:tcPr>
            <w:tcW w:w="2435" w:type="dxa"/>
            <w:tcBorders>
              <w:top w:val="single" w:sz="5" w:space="0" w:color="000000"/>
              <w:left w:val="single" w:sz="5" w:space="0" w:color="000000"/>
              <w:bottom w:val="single" w:sz="5" w:space="0" w:color="000000"/>
              <w:right w:val="single" w:sz="5" w:space="0" w:color="000000"/>
            </w:tcBorders>
            <w:vAlign w:val="center"/>
          </w:tcPr>
          <w:p w14:paraId="0EAD7CEB" w14:textId="74F72380" w:rsidR="007E172C" w:rsidRDefault="006C0FFB" w:rsidP="008A4FBA">
            <w:pPr>
              <w:jc w:val="center"/>
              <w:rPr>
                <w:rFonts w:ascii="Arial" w:hAnsi="Arial" w:cs="Arial"/>
                <w:sz w:val="18"/>
                <w:szCs w:val="18"/>
              </w:rPr>
            </w:pPr>
            <w:r w:rsidRPr="006C0FFB">
              <w:rPr>
                <w:rFonts w:ascii="Arial" w:hAnsi="Arial" w:cs="Arial"/>
                <w:sz w:val="18"/>
                <w:szCs w:val="18"/>
              </w:rPr>
              <w:t>0.712</w:t>
            </w:r>
            <w:r w:rsidR="008B78B7">
              <w:rPr>
                <w:rFonts w:ascii="Arial" w:hAnsi="Arial" w:cs="Arial"/>
                <w:sz w:val="18"/>
                <w:szCs w:val="18"/>
              </w:rPr>
              <w:t xml:space="preserve"> (</w:t>
            </w:r>
            <w:r w:rsidRPr="006C0FFB">
              <w:rPr>
                <w:rFonts w:ascii="Arial" w:hAnsi="Arial" w:cs="Arial"/>
                <w:sz w:val="18"/>
                <w:szCs w:val="18"/>
              </w:rPr>
              <w:t>0.387</w:t>
            </w:r>
            <w:r w:rsidR="008B78B7">
              <w:rPr>
                <w:rFonts w:ascii="Arial" w:hAnsi="Arial" w:cs="Arial"/>
                <w:sz w:val="18"/>
                <w:szCs w:val="18"/>
              </w:rPr>
              <w:t>-</w:t>
            </w:r>
            <w:r w:rsidRPr="006C0FFB">
              <w:rPr>
                <w:rFonts w:ascii="Arial" w:hAnsi="Arial" w:cs="Arial"/>
                <w:sz w:val="18"/>
                <w:szCs w:val="18"/>
              </w:rPr>
              <w:t>1.051</w:t>
            </w:r>
            <w:r w:rsidR="008B78B7">
              <w:rPr>
                <w:rFonts w:ascii="Arial" w:hAnsi="Arial" w:cs="Arial"/>
                <w:sz w:val="18"/>
                <w:szCs w:val="18"/>
              </w:rPr>
              <w:t>)</w:t>
            </w:r>
          </w:p>
        </w:tc>
      </w:tr>
      <w:tr w:rsidR="007E172C" w:rsidRPr="00D539D9" w14:paraId="72204639" w14:textId="77777777" w:rsidTr="00EB44B1">
        <w:trPr>
          <w:trHeight w:hRule="exact" w:val="868"/>
        </w:trPr>
        <w:tc>
          <w:tcPr>
            <w:tcW w:w="1790" w:type="dxa"/>
            <w:tcBorders>
              <w:top w:val="single" w:sz="5" w:space="0" w:color="000000"/>
              <w:left w:val="single" w:sz="5" w:space="0" w:color="000000"/>
              <w:bottom w:val="single" w:sz="5" w:space="0" w:color="000000"/>
              <w:right w:val="single" w:sz="5" w:space="0" w:color="000000"/>
            </w:tcBorders>
            <w:vAlign w:val="center"/>
          </w:tcPr>
          <w:p w14:paraId="37FF69E6" w14:textId="77777777" w:rsidR="007E172C" w:rsidRDefault="007E172C" w:rsidP="008A4FBA">
            <w:pPr>
              <w:spacing w:before="3" w:line="240" w:lineRule="exact"/>
              <w:ind w:left="102" w:right="227"/>
              <w:jc w:val="left"/>
              <w:rPr>
                <w:rFonts w:ascii="Arial" w:eastAsia="Arial" w:hAnsi="Arial" w:cs="Arial"/>
                <w:sz w:val="18"/>
                <w:szCs w:val="18"/>
              </w:rPr>
            </w:pPr>
            <w:r>
              <w:rPr>
                <w:rFonts w:ascii="Arial" w:eastAsia="Arial" w:hAnsi="Arial" w:cs="Arial"/>
                <w:sz w:val="18"/>
                <w:szCs w:val="18"/>
              </w:rPr>
              <w:t>OS HR (Ding)</w:t>
            </w:r>
          </w:p>
        </w:tc>
        <w:tc>
          <w:tcPr>
            <w:tcW w:w="2365" w:type="dxa"/>
            <w:tcBorders>
              <w:top w:val="single" w:sz="5" w:space="0" w:color="000000"/>
              <w:left w:val="single" w:sz="5" w:space="0" w:color="000000"/>
              <w:bottom w:val="single" w:sz="5" w:space="0" w:color="000000"/>
              <w:right w:val="single" w:sz="5" w:space="0" w:color="000000"/>
            </w:tcBorders>
            <w:vAlign w:val="center"/>
          </w:tcPr>
          <w:p w14:paraId="5C8E7D49" w14:textId="4110F73B" w:rsidR="007E172C" w:rsidRDefault="00F44704" w:rsidP="008A4FBA">
            <w:pPr>
              <w:jc w:val="center"/>
              <w:rPr>
                <w:rFonts w:ascii="Arial" w:hAnsi="Arial" w:cs="Arial"/>
                <w:sz w:val="18"/>
                <w:szCs w:val="18"/>
              </w:rPr>
            </w:pPr>
            <w:r w:rsidRPr="00F44704">
              <w:rPr>
                <w:rFonts w:ascii="Arial" w:hAnsi="Arial" w:cs="Arial"/>
                <w:sz w:val="18"/>
                <w:szCs w:val="18"/>
              </w:rPr>
              <w:t>0.498</w:t>
            </w:r>
            <w:r>
              <w:rPr>
                <w:rFonts w:ascii="Arial" w:hAnsi="Arial" w:cs="Arial"/>
                <w:sz w:val="18"/>
                <w:szCs w:val="18"/>
              </w:rPr>
              <w:t xml:space="preserve"> (</w:t>
            </w:r>
            <w:r w:rsidRPr="00F44704">
              <w:rPr>
                <w:rFonts w:ascii="Arial" w:hAnsi="Arial" w:cs="Arial"/>
                <w:sz w:val="18"/>
                <w:szCs w:val="18"/>
              </w:rPr>
              <w:t>0.346</w:t>
            </w:r>
            <w:r>
              <w:rPr>
                <w:rFonts w:ascii="Arial" w:hAnsi="Arial" w:cs="Arial"/>
                <w:sz w:val="18"/>
                <w:szCs w:val="18"/>
              </w:rPr>
              <w:t>-</w:t>
            </w:r>
            <w:r w:rsidRPr="00F44704">
              <w:rPr>
                <w:rFonts w:ascii="Arial" w:hAnsi="Arial" w:cs="Arial"/>
                <w:sz w:val="18"/>
                <w:szCs w:val="18"/>
              </w:rPr>
              <w:t>0.718</w:t>
            </w:r>
            <w:r>
              <w:rPr>
                <w:rFonts w:ascii="Arial" w:hAnsi="Arial" w:cs="Arial"/>
                <w:sz w:val="18"/>
                <w:szCs w:val="18"/>
              </w:rPr>
              <w:t>)</w:t>
            </w:r>
          </w:p>
        </w:tc>
        <w:tc>
          <w:tcPr>
            <w:tcW w:w="2435" w:type="dxa"/>
            <w:tcBorders>
              <w:top w:val="single" w:sz="5" w:space="0" w:color="000000"/>
              <w:left w:val="single" w:sz="5" w:space="0" w:color="000000"/>
              <w:bottom w:val="single" w:sz="5" w:space="0" w:color="000000"/>
              <w:right w:val="single" w:sz="5" w:space="0" w:color="000000"/>
            </w:tcBorders>
            <w:vAlign w:val="center"/>
          </w:tcPr>
          <w:p w14:paraId="61694677" w14:textId="10C14C37" w:rsidR="007E172C" w:rsidRDefault="0073630C" w:rsidP="008A4FBA">
            <w:pPr>
              <w:jc w:val="center"/>
              <w:rPr>
                <w:rFonts w:ascii="Arial" w:hAnsi="Arial" w:cs="Arial"/>
                <w:sz w:val="18"/>
                <w:szCs w:val="18"/>
              </w:rPr>
            </w:pPr>
            <w:r w:rsidRPr="0073630C">
              <w:rPr>
                <w:rFonts w:ascii="Arial" w:hAnsi="Arial" w:cs="Arial"/>
                <w:sz w:val="18"/>
                <w:szCs w:val="18"/>
              </w:rPr>
              <w:t>0.618</w:t>
            </w:r>
            <w:r w:rsidR="00D83345">
              <w:rPr>
                <w:rFonts w:ascii="Arial" w:hAnsi="Arial" w:cs="Arial"/>
                <w:sz w:val="18"/>
                <w:szCs w:val="18"/>
              </w:rPr>
              <w:t xml:space="preserve"> (</w:t>
            </w:r>
            <w:r w:rsidRPr="0073630C">
              <w:rPr>
                <w:rFonts w:ascii="Arial" w:hAnsi="Arial" w:cs="Arial"/>
                <w:sz w:val="18"/>
                <w:szCs w:val="18"/>
              </w:rPr>
              <w:t>0.453</w:t>
            </w:r>
            <w:r w:rsidR="00D83345">
              <w:rPr>
                <w:rFonts w:ascii="Arial" w:hAnsi="Arial" w:cs="Arial"/>
                <w:sz w:val="18"/>
                <w:szCs w:val="18"/>
              </w:rPr>
              <w:t>-</w:t>
            </w:r>
            <w:r w:rsidRPr="0073630C">
              <w:rPr>
                <w:rFonts w:ascii="Arial" w:hAnsi="Arial" w:cs="Arial"/>
                <w:sz w:val="18"/>
                <w:szCs w:val="18"/>
              </w:rPr>
              <w:t>0.841</w:t>
            </w:r>
            <w:r w:rsidR="00D83345">
              <w:rPr>
                <w:rFonts w:ascii="Arial" w:hAnsi="Arial" w:cs="Arial"/>
                <w:sz w:val="18"/>
                <w:szCs w:val="18"/>
              </w:rPr>
              <w:t>)</w:t>
            </w:r>
          </w:p>
        </w:tc>
        <w:tc>
          <w:tcPr>
            <w:tcW w:w="2435" w:type="dxa"/>
            <w:tcBorders>
              <w:top w:val="single" w:sz="5" w:space="0" w:color="000000"/>
              <w:left w:val="single" w:sz="5" w:space="0" w:color="000000"/>
              <w:bottom w:val="single" w:sz="5" w:space="0" w:color="000000"/>
              <w:right w:val="single" w:sz="5" w:space="0" w:color="000000"/>
            </w:tcBorders>
            <w:vAlign w:val="center"/>
          </w:tcPr>
          <w:p w14:paraId="1EC1211E" w14:textId="6444F091" w:rsidR="007E172C" w:rsidRDefault="008B78B7" w:rsidP="008A4FBA">
            <w:pPr>
              <w:jc w:val="center"/>
              <w:rPr>
                <w:rFonts w:ascii="Arial" w:hAnsi="Arial" w:cs="Arial"/>
                <w:sz w:val="18"/>
                <w:szCs w:val="18"/>
              </w:rPr>
            </w:pPr>
            <w:r w:rsidRPr="008B78B7">
              <w:rPr>
                <w:rFonts w:ascii="Arial" w:hAnsi="Arial" w:cs="Arial"/>
                <w:sz w:val="18"/>
                <w:szCs w:val="18"/>
              </w:rPr>
              <w:t>0.731</w:t>
            </w:r>
            <w:r>
              <w:rPr>
                <w:rFonts w:ascii="Arial" w:hAnsi="Arial" w:cs="Arial"/>
                <w:sz w:val="18"/>
                <w:szCs w:val="18"/>
              </w:rPr>
              <w:t xml:space="preserve"> (</w:t>
            </w:r>
            <w:r w:rsidRPr="008B78B7">
              <w:rPr>
                <w:rFonts w:ascii="Arial" w:hAnsi="Arial" w:cs="Arial"/>
                <w:sz w:val="18"/>
                <w:szCs w:val="18"/>
              </w:rPr>
              <w:t>0.528</w:t>
            </w:r>
            <w:r>
              <w:rPr>
                <w:rFonts w:ascii="Arial" w:hAnsi="Arial" w:cs="Arial"/>
                <w:sz w:val="18"/>
                <w:szCs w:val="18"/>
              </w:rPr>
              <w:t>-</w:t>
            </w:r>
            <w:r w:rsidRPr="008B78B7">
              <w:rPr>
                <w:rFonts w:ascii="Arial" w:hAnsi="Arial" w:cs="Arial"/>
                <w:sz w:val="18"/>
                <w:szCs w:val="18"/>
              </w:rPr>
              <w:t>1.098</w:t>
            </w:r>
            <w:r>
              <w:rPr>
                <w:rFonts w:ascii="Arial" w:hAnsi="Arial" w:cs="Arial"/>
                <w:sz w:val="18"/>
                <w:szCs w:val="18"/>
              </w:rPr>
              <w:t>)</w:t>
            </w:r>
          </w:p>
        </w:tc>
      </w:tr>
      <w:tr w:rsidR="007E172C" w:rsidRPr="00D539D9" w14:paraId="0054578D" w14:textId="77777777" w:rsidTr="00EB44B1">
        <w:trPr>
          <w:trHeight w:hRule="exact" w:val="868"/>
        </w:trPr>
        <w:tc>
          <w:tcPr>
            <w:tcW w:w="1790" w:type="dxa"/>
            <w:tcBorders>
              <w:top w:val="single" w:sz="5" w:space="0" w:color="000000"/>
              <w:left w:val="single" w:sz="5" w:space="0" w:color="000000"/>
              <w:bottom w:val="single" w:sz="5" w:space="0" w:color="000000"/>
              <w:right w:val="single" w:sz="5" w:space="0" w:color="000000"/>
            </w:tcBorders>
            <w:vAlign w:val="center"/>
          </w:tcPr>
          <w:p w14:paraId="5B33001A" w14:textId="77777777" w:rsidR="007E172C" w:rsidRDefault="007E172C" w:rsidP="008A4FBA">
            <w:pPr>
              <w:spacing w:before="3" w:line="240" w:lineRule="exact"/>
              <w:ind w:left="102" w:right="227"/>
              <w:jc w:val="left"/>
              <w:rPr>
                <w:rFonts w:ascii="Arial" w:eastAsia="Arial" w:hAnsi="Arial" w:cs="Arial"/>
                <w:sz w:val="18"/>
                <w:szCs w:val="18"/>
              </w:rPr>
            </w:pPr>
            <w:r>
              <w:rPr>
                <w:rFonts w:ascii="Arial" w:eastAsia="Arial" w:hAnsi="Arial" w:cs="Arial"/>
                <w:sz w:val="18"/>
                <w:szCs w:val="18"/>
              </w:rPr>
              <w:t xml:space="preserve">PFS HR (unadjusted) </w:t>
            </w:r>
          </w:p>
        </w:tc>
        <w:tc>
          <w:tcPr>
            <w:tcW w:w="2365" w:type="dxa"/>
            <w:tcBorders>
              <w:top w:val="single" w:sz="5" w:space="0" w:color="000000"/>
              <w:left w:val="single" w:sz="5" w:space="0" w:color="000000"/>
              <w:bottom w:val="single" w:sz="5" w:space="0" w:color="000000"/>
              <w:right w:val="single" w:sz="5" w:space="0" w:color="000000"/>
            </w:tcBorders>
            <w:vAlign w:val="center"/>
          </w:tcPr>
          <w:p w14:paraId="4E97C7FA" w14:textId="3D02323C" w:rsidR="007E172C" w:rsidRDefault="00F44704" w:rsidP="008A4FBA">
            <w:pPr>
              <w:jc w:val="center"/>
              <w:rPr>
                <w:rFonts w:ascii="Arial" w:hAnsi="Arial" w:cs="Arial"/>
                <w:sz w:val="18"/>
                <w:szCs w:val="18"/>
              </w:rPr>
            </w:pPr>
            <w:r w:rsidRPr="00D83345">
              <w:rPr>
                <w:rFonts w:ascii="Arial" w:hAnsi="Arial" w:cs="Arial"/>
                <w:sz w:val="18"/>
                <w:szCs w:val="18"/>
              </w:rPr>
              <w:t>0.741</w:t>
            </w:r>
            <w:r>
              <w:rPr>
                <w:rFonts w:ascii="Arial" w:hAnsi="Arial" w:cs="Arial"/>
                <w:sz w:val="18"/>
                <w:szCs w:val="18"/>
              </w:rPr>
              <w:t xml:space="preserve"> (</w:t>
            </w:r>
            <w:r w:rsidRPr="00D83345">
              <w:rPr>
                <w:rFonts w:ascii="Arial" w:hAnsi="Arial" w:cs="Arial"/>
                <w:sz w:val="18"/>
                <w:szCs w:val="18"/>
              </w:rPr>
              <w:t>0.575</w:t>
            </w:r>
            <w:r>
              <w:rPr>
                <w:rFonts w:ascii="Arial" w:hAnsi="Arial" w:cs="Arial"/>
                <w:sz w:val="18"/>
                <w:szCs w:val="18"/>
              </w:rPr>
              <w:t>-</w:t>
            </w:r>
            <w:r w:rsidRPr="00D83345">
              <w:rPr>
                <w:rFonts w:ascii="Arial" w:hAnsi="Arial" w:cs="Arial"/>
                <w:sz w:val="18"/>
                <w:szCs w:val="18"/>
              </w:rPr>
              <w:t>0.954</w:t>
            </w:r>
            <w:r>
              <w:rPr>
                <w:rFonts w:ascii="Arial" w:hAnsi="Arial" w:cs="Arial"/>
                <w:sz w:val="18"/>
                <w:szCs w:val="18"/>
              </w:rPr>
              <w:t>)</w:t>
            </w:r>
          </w:p>
        </w:tc>
        <w:tc>
          <w:tcPr>
            <w:tcW w:w="2435" w:type="dxa"/>
            <w:tcBorders>
              <w:top w:val="single" w:sz="5" w:space="0" w:color="000000"/>
              <w:left w:val="single" w:sz="5" w:space="0" w:color="000000"/>
              <w:bottom w:val="single" w:sz="5" w:space="0" w:color="000000"/>
              <w:right w:val="single" w:sz="5" w:space="0" w:color="000000"/>
            </w:tcBorders>
            <w:vAlign w:val="center"/>
          </w:tcPr>
          <w:p w14:paraId="2FDF9631" w14:textId="4A3F15B9" w:rsidR="007E172C" w:rsidRDefault="00D83345" w:rsidP="008A4FBA">
            <w:pPr>
              <w:jc w:val="center"/>
              <w:rPr>
                <w:rFonts w:ascii="Arial" w:hAnsi="Arial" w:cs="Arial"/>
                <w:sz w:val="18"/>
                <w:szCs w:val="18"/>
              </w:rPr>
            </w:pPr>
            <w:r w:rsidRPr="00D83345">
              <w:rPr>
                <w:rFonts w:ascii="Arial" w:hAnsi="Arial" w:cs="Arial"/>
                <w:sz w:val="18"/>
                <w:szCs w:val="18"/>
              </w:rPr>
              <w:t>0.741</w:t>
            </w:r>
            <w:r>
              <w:rPr>
                <w:rFonts w:ascii="Arial" w:hAnsi="Arial" w:cs="Arial"/>
                <w:sz w:val="18"/>
                <w:szCs w:val="18"/>
              </w:rPr>
              <w:t xml:space="preserve"> (</w:t>
            </w:r>
            <w:r w:rsidRPr="00D83345">
              <w:rPr>
                <w:rFonts w:ascii="Arial" w:hAnsi="Arial" w:cs="Arial"/>
                <w:sz w:val="18"/>
                <w:szCs w:val="18"/>
              </w:rPr>
              <w:t>0.575</w:t>
            </w:r>
            <w:r>
              <w:rPr>
                <w:rFonts w:ascii="Arial" w:hAnsi="Arial" w:cs="Arial"/>
                <w:sz w:val="18"/>
                <w:szCs w:val="18"/>
              </w:rPr>
              <w:t>-</w:t>
            </w:r>
            <w:r w:rsidRPr="00D83345">
              <w:rPr>
                <w:rFonts w:ascii="Arial" w:hAnsi="Arial" w:cs="Arial"/>
                <w:sz w:val="18"/>
                <w:szCs w:val="18"/>
              </w:rPr>
              <w:t>0.954</w:t>
            </w:r>
            <w:r>
              <w:rPr>
                <w:rFonts w:ascii="Arial" w:hAnsi="Arial" w:cs="Arial"/>
                <w:sz w:val="18"/>
                <w:szCs w:val="18"/>
              </w:rPr>
              <w:t>)</w:t>
            </w:r>
          </w:p>
        </w:tc>
        <w:tc>
          <w:tcPr>
            <w:tcW w:w="2435" w:type="dxa"/>
            <w:tcBorders>
              <w:top w:val="single" w:sz="5" w:space="0" w:color="000000"/>
              <w:left w:val="single" w:sz="5" w:space="0" w:color="000000"/>
              <w:bottom w:val="single" w:sz="5" w:space="0" w:color="000000"/>
              <w:right w:val="single" w:sz="5" w:space="0" w:color="000000"/>
            </w:tcBorders>
            <w:vAlign w:val="center"/>
          </w:tcPr>
          <w:p w14:paraId="2F919D82" w14:textId="7700DCE8" w:rsidR="007E172C" w:rsidRDefault="008B78B7" w:rsidP="008A4FBA">
            <w:pPr>
              <w:jc w:val="center"/>
              <w:rPr>
                <w:rFonts w:ascii="Arial" w:hAnsi="Arial" w:cs="Arial"/>
                <w:sz w:val="18"/>
                <w:szCs w:val="18"/>
              </w:rPr>
            </w:pPr>
            <w:r w:rsidRPr="008B78B7">
              <w:rPr>
                <w:rFonts w:ascii="Arial" w:hAnsi="Arial" w:cs="Arial"/>
                <w:sz w:val="18"/>
                <w:szCs w:val="18"/>
              </w:rPr>
              <w:t>0.741 (0.575-0.954)</w:t>
            </w:r>
          </w:p>
        </w:tc>
      </w:tr>
      <w:tr w:rsidR="007E172C" w:rsidRPr="00D539D9" w14:paraId="7B2B14D5" w14:textId="77777777" w:rsidTr="00EB44B1">
        <w:trPr>
          <w:trHeight w:hRule="exact" w:val="868"/>
        </w:trPr>
        <w:tc>
          <w:tcPr>
            <w:tcW w:w="1790" w:type="dxa"/>
            <w:tcBorders>
              <w:top w:val="single" w:sz="5" w:space="0" w:color="000000"/>
              <w:left w:val="single" w:sz="5" w:space="0" w:color="000000"/>
              <w:bottom w:val="single" w:sz="5" w:space="0" w:color="000000"/>
              <w:right w:val="single" w:sz="5" w:space="0" w:color="000000"/>
            </w:tcBorders>
            <w:vAlign w:val="center"/>
          </w:tcPr>
          <w:p w14:paraId="3EAF6F19" w14:textId="77777777" w:rsidR="007E172C" w:rsidRDefault="007E172C" w:rsidP="008A4FBA">
            <w:pPr>
              <w:spacing w:before="3" w:line="240" w:lineRule="exact"/>
              <w:ind w:left="102" w:right="227"/>
              <w:jc w:val="left"/>
              <w:rPr>
                <w:rFonts w:ascii="Arial" w:eastAsia="Arial" w:hAnsi="Arial" w:cs="Arial"/>
                <w:sz w:val="18"/>
                <w:szCs w:val="18"/>
              </w:rPr>
            </w:pPr>
            <w:r>
              <w:rPr>
                <w:rFonts w:ascii="Arial" w:eastAsia="Arial" w:hAnsi="Arial" w:cs="Arial"/>
                <w:sz w:val="18"/>
                <w:szCs w:val="18"/>
              </w:rPr>
              <w:t>PFS HR (True)</w:t>
            </w:r>
          </w:p>
        </w:tc>
        <w:tc>
          <w:tcPr>
            <w:tcW w:w="2365" w:type="dxa"/>
            <w:tcBorders>
              <w:top w:val="single" w:sz="5" w:space="0" w:color="000000"/>
              <w:left w:val="single" w:sz="5" w:space="0" w:color="000000"/>
              <w:bottom w:val="single" w:sz="5" w:space="0" w:color="000000"/>
              <w:right w:val="single" w:sz="5" w:space="0" w:color="000000"/>
            </w:tcBorders>
            <w:vAlign w:val="center"/>
          </w:tcPr>
          <w:p w14:paraId="6B45F8BC" w14:textId="184E0A8E" w:rsidR="007E172C" w:rsidRDefault="00F44704" w:rsidP="008A4FBA">
            <w:pPr>
              <w:jc w:val="center"/>
              <w:rPr>
                <w:rFonts w:ascii="Arial" w:hAnsi="Arial" w:cs="Arial"/>
                <w:sz w:val="18"/>
                <w:szCs w:val="18"/>
              </w:rPr>
            </w:pPr>
            <w:r w:rsidRPr="00D83345">
              <w:rPr>
                <w:rFonts w:ascii="Arial" w:hAnsi="Arial" w:cs="Arial"/>
                <w:sz w:val="18"/>
                <w:szCs w:val="18"/>
              </w:rPr>
              <w:t>0.741</w:t>
            </w:r>
            <w:r>
              <w:rPr>
                <w:rFonts w:ascii="Arial" w:hAnsi="Arial" w:cs="Arial"/>
                <w:sz w:val="18"/>
                <w:szCs w:val="18"/>
              </w:rPr>
              <w:t xml:space="preserve"> (</w:t>
            </w:r>
            <w:r w:rsidRPr="00D83345">
              <w:rPr>
                <w:rFonts w:ascii="Arial" w:hAnsi="Arial" w:cs="Arial"/>
                <w:sz w:val="18"/>
                <w:szCs w:val="18"/>
              </w:rPr>
              <w:t>0.575</w:t>
            </w:r>
            <w:r>
              <w:rPr>
                <w:rFonts w:ascii="Arial" w:hAnsi="Arial" w:cs="Arial"/>
                <w:sz w:val="18"/>
                <w:szCs w:val="18"/>
              </w:rPr>
              <w:t>-</w:t>
            </w:r>
            <w:r w:rsidRPr="00D83345">
              <w:rPr>
                <w:rFonts w:ascii="Arial" w:hAnsi="Arial" w:cs="Arial"/>
                <w:sz w:val="18"/>
                <w:szCs w:val="18"/>
              </w:rPr>
              <w:t>0.954</w:t>
            </w:r>
            <w:r>
              <w:rPr>
                <w:rFonts w:ascii="Arial" w:hAnsi="Arial" w:cs="Arial"/>
                <w:sz w:val="18"/>
                <w:szCs w:val="18"/>
              </w:rPr>
              <w:t>)</w:t>
            </w:r>
          </w:p>
        </w:tc>
        <w:tc>
          <w:tcPr>
            <w:tcW w:w="2435" w:type="dxa"/>
            <w:tcBorders>
              <w:top w:val="single" w:sz="5" w:space="0" w:color="000000"/>
              <w:left w:val="single" w:sz="5" w:space="0" w:color="000000"/>
              <w:bottom w:val="single" w:sz="5" w:space="0" w:color="000000"/>
              <w:right w:val="single" w:sz="5" w:space="0" w:color="000000"/>
            </w:tcBorders>
            <w:vAlign w:val="center"/>
          </w:tcPr>
          <w:p w14:paraId="766426AD" w14:textId="5AEF0D3D" w:rsidR="007E172C" w:rsidRDefault="00D83345" w:rsidP="008A4FBA">
            <w:pPr>
              <w:jc w:val="center"/>
              <w:rPr>
                <w:rFonts w:ascii="Arial" w:hAnsi="Arial" w:cs="Arial"/>
                <w:sz w:val="18"/>
                <w:szCs w:val="18"/>
              </w:rPr>
            </w:pPr>
            <w:r w:rsidRPr="00D83345">
              <w:rPr>
                <w:rFonts w:ascii="Arial" w:hAnsi="Arial" w:cs="Arial"/>
                <w:sz w:val="18"/>
                <w:szCs w:val="18"/>
              </w:rPr>
              <w:t>0.741</w:t>
            </w:r>
            <w:r>
              <w:rPr>
                <w:rFonts w:ascii="Arial" w:hAnsi="Arial" w:cs="Arial"/>
                <w:sz w:val="18"/>
                <w:szCs w:val="18"/>
              </w:rPr>
              <w:t xml:space="preserve"> (</w:t>
            </w:r>
            <w:r w:rsidRPr="00D83345">
              <w:rPr>
                <w:rFonts w:ascii="Arial" w:hAnsi="Arial" w:cs="Arial"/>
                <w:sz w:val="18"/>
                <w:szCs w:val="18"/>
              </w:rPr>
              <w:t>0.575</w:t>
            </w:r>
            <w:r>
              <w:rPr>
                <w:rFonts w:ascii="Arial" w:hAnsi="Arial" w:cs="Arial"/>
                <w:sz w:val="18"/>
                <w:szCs w:val="18"/>
              </w:rPr>
              <w:t>-</w:t>
            </w:r>
            <w:r w:rsidRPr="00D83345">
              <w:rPr>
                <w:rFonts w:ascii="Arial" w:hAnsi="Arial" w:cs="Arial"/>
                <w:sz w:val="18"/>
                <w:szCs w:val="18"/>
              </w:rPr>
              <w:t>0.954</w:t>
            </w:r>
            <w:r>
              <w:rPr>
                <w:rFonts w:ascii="Arial" w:hAnsi="Arial" w:cs="Arial"/>
                <w:sz w:val="18"/>
                <w:szCs w:val="18"/>
              </w:rPr>
              <w:t>)</w:t>
            </w:r>
          </w:p>
        </w:tc>
        <w:tc>
          <w:tcPr>
            <w:tcW w:w="2435" w:type="dxa"/>
            <w:tcBorders>
              <w:top w:val="single" w:sz="5" w:space="0" w:color="000000"/>
              <w:left w:val="single" w:sz="5" w:space="0" w:color="000000"/>
              <w:bottom w:val="single" w:sz="5" w:space="0" w:color="000000"/>
              <w:right w:val="single" w:sz="5" w:space="0" w:color="000000"/>
            </w:tcBorders>
            <w:vAlign w:val="center"/>
          </w:tcPr>
          <w:p w14:paraId="7B2CA7B7" w14:textId="1BA98C11" w:rsidR="007E172C" w:rsidRDefault="008B78B7" w:rsidP="008A4FBA">
            <w:pPr>
              <w:jc w:val="center"/>
              <w:rPr>
                <w:rFonts w:ascii="Arial" w:hAnsi="Arial" w:cs="Arial"/>
                <w:sz w:val="18"/>
                <w:szCs w:val="18"/>
              </w:rPr>
            </w:pPr>
            <w:r w:rsidRPr="008B78B7">
              <w:rPr>
                <w:rFonts w:ascii="Arial" w:hAnsi="Arial" w:cs="Arial"/>
                <w:sz w:val="18"/>
                <w:szCs w:val="18"/>
              </w:rPr>
              <w:t>0.741 (0.575-0.954)</w:t>
            </w:r>
          </w:p>
        </w:tc>
      </w:tr>
      <w:tr w:rsidR="007E172C" w:rsidRPr="00D539D9" w14:paraId="5C569F24" w14:textId="77777777" w:rsidTr="00EB44B1">
        <w:trPr>
          <w:trHeight w:hRule="exact" w:val="868"/>
        </w:trPr>
        <w:tc>
          <w:tcPr>
            <w:tcW w:w="1790" w:type="dxa"/>
            <w:tcBorders>
              <w:top w:val="single" w:sz="5" w:space="0" w:color="000000"/>
              <w:left w:val="single" w:sz="5" w:space="0" w:color="000000"/>
              <w:bottom w:val="single" w:sz="5" w:space="0" w:color="000000"/>
              <w:right w:val="single" w:sz="5" w:space="0" w:color="000000"/>
            </w:tcBorders>
            <w:vAlign w:val="center"/>
          </w:tcPr>
          <w:p w14:paraId="3ECB2B3C" w14:textId="77777777" w:rsidR="007E172C" w:rsidRDefault="007E172C" w:rsidP="008A4FBA">
            <w:pPr>
              <w:spacing w:before="3" w:line="240" w:lineRule="exact"/>
              <w:ind w:left="102" w:right="227"/>
              <w:jc w:val="left"/>
              <w:rPr>
                <w:rFonts w:ascii="Arial" w:eastAsia="Arial" w:hAnsi="Arial" w:cs="Arial"/>
                <w:sz w:val="18"/>
                <w:szCs w:val="18"/>
              </w:rPr>
            </w:pPr>
            <w:r>
              <w:rPr>
                <w:rFonts w:ascii="Arial" w:eastAsia="Arial" w:hAnsi="Arial" w:cs="Arial"/>
                <w:sz w:val="18"/>
                <w:szCs w:val="18"/>
              </w:rPr>
              <w:t>PFS HR (Huang)</w:t>
            </w:r>
          </w:p>
        </w:tc>
        <w:tc>
          <w:tcPr>
            <w:tcW w:w="2365" w:type="dxa"/>
            <w:tcBorders>
              <w:top w:val="single" w:sz="5" w:space="0" w:color="000000"/>
              <w:left w:val="single" w:sz="5" w:space="0" w:color="000000"/>
              <w:bottom w:val="single" w:sz="5" w:space="0" w:color="000000"/>
              <w:right w:val="single" w:sz="5" w:space="0" w:color="000000"/>
            </w:tcBorders>
            <w:vAlign w:val="center"/>
          </w:tcPr>
          <w:p w14:paraId="13468061" w14:textId="04F7AC80" w:rsidR="007E172C" w:rsidRDefault="00F44704" w:rsidP="008A4FBA">
            <w:pPr>
              <w:jc w:val="center"/>
              <w:rPr>
                <w:rFonts w:ascii="Arial" w:hAnsi="Arial" w:cs="Arial"/>
                <w:sz w:val="18"/>
                <w:szCs w:val="18"/>
              </w:rPr>
            </w:pPr>
            <w:r w:rsidRPr="00D83345">
              <w:rPr>
                <w:rFonts w:ascii="Arial" w:hAnsi="Arial" w:cs="Arial"/>
                <w:sz w:val="18"/>
                <w:szCs w:val="18"/>
              </w:rPr>
              <w:t>0.741</w:t>
            </w:r>
            <w:r>
              <w:rPr>
                <w:rFonts w:ascii="Arial" w:hAnsi="Arial" w:cs="Arial"/>
                <w:sz w:val="18"/>
                <w:szCs w:val="18"/>
              </w:rPr>
              <w:t xml:space="preserve"> (</w:t>
            </w:r>
            <w:r w:rsidRPr="00D83345">
              <w:rPr>
                <w:rFonts w:ascii="Arial" w:hAnsi="Arial" w:cs="Arial"/>
                <w:sz w:val="18"/>
                <w:szCs w:val="18"/>
              </w:rPr>
              <w:t>0.575</w:t>
            </w:r>
            <w:r>
              <w:rPr>
                <w:rFonts w:ascii="Arial" w:hAnsi="Arial" w:cs="Arial"/>
                <w:sz w:val="18"/>
                <w:szCs w:val="18"/>
              </w:rPr>
              <w:t>-</w:t>
            </w:r>
            <w:r w:rsidRPr="00D83345">
              <w:rPr>
                <w:rFonts w:ascii="Arial" w:hAnsi="Arial" w:cs="Arial"/>
                <w:sz w:val="18"/>
                <w:szCs w:val="18"/>
              </w:rPr>
              <w:t>0.954</w:t>
            </w:r>
            <w:r>
              <w:rPr>
                <w:rFonts w:ascii="Arial" w:hAnsi="Arial" w:cs="Arial"/>
                <w:sz w:val="18"/>
                <w:szCs w:val="18"/>
              </w:rPr>
              <w:t>)</w:t>
            </w:r>
          </w:p>
        </w:tc>
        <w:tc>
          <w:tcPr>
            <w:tcW w:w="2435" w:type="dxa"/>
            <w:tcBorders>
              <w:top w:val="single" w:sz="5" w:space="0" w:color="000000"/>
              <w:left w:val="single" w:sz="5" w:space="0" w:color="000000"/>
              <w:bottom w:val="single" w:sz="5" w:space="0" w:color="000000"/>
              <w:right w:val="single" w:sz="5" w:space="0" w:color="000000"/>
            </w:tcBorders>
            <w:vAlign w:val="center"/>
          </w:tcPr>
          <w:p w14:paraId="12B7CC14" w14:textId="455C6037" w:rsidR="007E172C" w:rsidRDefault="00D83345" w:rsidP="008A4FBA">
            <w:pPr>
              <w:jc w:val="center"/>
              <w:rPr>
                <w:rFonts w:ascii="Arial" w:hAnsi="Arial" w:cs="Arial"/>
                <w:sz w:val="18"/>
                <w:szCs w:val="18"/>
              </w:rPr>
            </w:pPr>
            <w:r w:rsidRPr="00D83345">
              <w:rPr>
                <w:rFonts w:ascii="Arial" w:hAnsi="Arial" w:cs="Arial"/>
                <w:sz w:val="18"/>
                <w:szCs w:val="18"/>
              </w:rPr>
              <w:t>0.741</w:t>
            </w:r>
            <w:r>
              <w:rPr>
                <w:rFonts w:ascii="Arial" w:hAnsi="Arial" w:cs="Arial"/>
                <w:sz w:val="18"/>
                <w:szCs w:val="18"/>
              </w:rPr>
              <w:t xml:space="preserve"> (</w:t>
            </w:r>
            <w:r w:rsidRPr="00D83345">
              <w:rPr>
                <w:rFonts w:ascii="Arial" w:hAnsi="Arial" w:cs="Arial"/>
                <w:sz w:val="18"/>
                <w:szCs w:val="18"/>
              </w:rPr>
              <w:t>0.575</w:t>
            </w:r>
            <w:r>
              <w:rPr>
                <w:rFonts w:ascii="Arial" w:hAnsi="Arial" w:cs="Arial"/>
                <w:sz w:val="18"/>
                <w:szCs w:val="18"/>
              </w:rPr>
              <w:t>-</w:t>
            </w:r>
            <w:r w:rsidRPr="00D83345">
              <w:rPr>
                <w:rFonts w:ascii="Arial" w:hAnsi="Arial" w:cs="Arial"/>
                <w:sz w:val="18"/>
                <w:szCs w:val="18"/>
              </w:rPr>
              <w:t>0.954</w:t>
            </w:r>
            <w:r>
              <w:rPr>
                <w:rFonts w:ascii="Arial" w:hAnsi="Arial" w:cs="Arial"/>
                <w:sz w:val="18"/>
                <w:szCs w:val="18"/>
              </w:rPr>
              <w:t>)</w:t>
            </w:r>
          </w:p>
        </w:tc>
        <w:tc>
          <w:tcPr>
            <w:tcW w:w="2435" w:type="dxa"/>
            <w:tcBorders>
              <w:top w:val="single" w:sz="5" w:space="0" w:color="000000"/>
              <w:left w:val="single" w:sz="5" w:space="0" w:color="000000"/>
              <w:bottom w:val="single" w:sz="5" w:space="0" w:color="000000"/>
              <w:right w:val="single" w:sz="5" w:space="0" w:color="000000"/>
            </w:tcBorders>
            <w:vAlign w:val="center"/>
          </w:tcPr>
          <w:p w14:paraId="301CCFA4" w14:textId="526F30C8" w:rsidR="007E172C" w:rsidRDefault="008B78B7" w:rsidP="008A4FBA">
            <w:pPr>
              <w:jc w:val="center"/>
              <w:rPr>
                <w:rFonts w:ascii="Arial" w:hAnsi="Arial" w:cs="Arial"/>
                <w:sz w:val="18"/>
                <w:szCs w:val="18"/>
              </w:rPr>
            </w:pPr>
            <w:r w:rsidRPr="008B78B7">
              <w:rPr>
                <w:rFonts w:ascii="Arial" w:hAnsi="Arial" w:cs="Arial"/>
                <w:sz w:val="18"/>
                <w:szCs w:val="18"/>
              </w:rPr>
              <w:t>0.741 (0.575-0.954)</w:t>
            </w:r>
          </w:p>
        </w:tc>
      </w:tr>
      <w:tr w:rsidR="007E172C" w:rsidRPr="00D539D9" w14:paraId="5FBF12F3" w14:textId="77777777" w:rsidTr="00EB44B1">
        <w:trPr>
          <w:trHeight w:hRule="exact" w:val="868"/>
        </w:trPr>
        <w:tc>
          <w:tcPr>
            <w:tcW w:w="1790" w:type="dxa"/>
            <w:tcBorders>
              <w:top w:val="single" w:sz="5" w:space="0" w:color="000000"/>
              <w:left w:val="single" w:sz="5" w:space="0" w:color="000000"/>
              <w:bottom w:val="single" w:sz="5" w:space="0" w:color="000000"/>
              <w:right w:val="single" w:sz="5" w:space="0" w:color="000000"/>
            </w:tcBorders>
            <w:vAlign w:val="center"/>
          </w:tcPr>
          <w:p w14:paraId="02241CBF" w14:textId="77777777" w:rsidR="007E172C" w:rsidRDefault="007E172C" w:rsidP="008A4FBA">
            <w:pPr>
              <w:spacing w:before="3" w:line="240" w:lineRule="exact"/>
              <w:ind w:left="102" w:right="227"/>
              <w:jc w:val="left"/>
              <w:rPr>
                <w:rFonts w:ascii="Arial" w:eastAsia="Arial" w:hAnsi="Arial" w:cs="Arial"/>
                <w:sz w:val="18"/>
                <w:szCs w:val="18"/>
              </w:rPr>
            </w:pPr>
            <w:r>
              <w:rPr>
                <w:rFonts w:ascii="Arial" w:eastAsia="Arial" w:hAnsi="Arial" w:cs="Arial"/>
                <w:sz w:val="18"/>
                <w:szCs w:val="18"/>
              </w:rPr>
              <w:t>PFS HR (Ding)</w:t>
            </w:r>
          </w:p>
        </w:tc>
        <w:tc>
          <w:tcPr>
            <w:tcW w:w="2365" w:type="dxa"/>
            <w:tcBorders>
              <w:top w:val="single" w:sz="5" w:space="0" w:color="000000"/>
              <w:left w:val="single" w:sz="5" w:space="0" w:color="000000"/>
              <w:bottom w:val="single" w:sz="5" w:space="0" w:color="000000"/>
              <w:right w:val="single" w:sz="5" w:space="0" w:color="000000"/>
            </w:tcBorders>
            <w:vAlign w:val="center"/>
          </w:tcPr>
          <w:p w14:paraId="3E6F77BF" w14:textId="2CA165D8" w:rsidR="007E172C" w:rsidRDefault="00F44704" w:rsidP="008A4FBA">
            <w:pPr>
              <w:jc w:val="center"/>
              <w:rPr>
                <w:rFonts w:ascii="Arial" w:hAnsi="Arial" w:cs="Arial"/>
                <w:sz w:val="18"/>
                <w:szCs w:val="18"/>
              </w:rPr>
            </w:pPr>
            <w:r w:rsidRPr="00D83345">
              <w:rPr>
                <w:rFonts w:ascii="Arial" w:hAnsi="Arial" w:cs="Arial"/>
                <w:sz w:val="18"/>
                <w:szCs w:val="18"/>
              </w:rPr>
              <w:t>0.741</w:t>
            </w:r>
            <w:r>
              <w:rPr>
                <w:rFonts w:ascii="Arial" w:hAnsi="Arial" w:cs="Arial"/>
                <w:sz w:val="18"/>
                <w:szCs w:val="18"/>
              </w:rPr>
              <w:t xml:space="preserve"> (</w:t>
            </w:r>
            <w:r w:rsidRPr="00D83345">
              <w:rPr>
                <w:rFonts w:ascii="Arial" w:hAnsi="Arial" w:cs="Arial"/>
                <w:sz w:val="18"/>
                <w:szCs w:val="18"/>
              </w:rPr>
              <w:t>0.575</w:t>
            </w:r>
            <w:r>
              <w:rPr>
                <w:rFonts w:ascii="Arial" w:hAnsi="Arial" w:cs="Arial"/>
                <w:sz w:val="18"/>
                <w:szCs w:val="18"/>
              </w:rPr>
              <w:t>-</w:t>
            </w:r>
            <w:r w:rsidRPr="00D83345">
              <w:rPr>
                <w:rFonts w:ascii="Arial" w:hAnsi="Arial" w:cs="Arial"/>
                <w:sz w:val="18"/>
                <w:szCs w:val="18"/>
              </w:rPr>
              <w:t>0.954</w:t>
            </w:r>
            <w:r>
              <w:rPr>
                <w:rFonts w:ascii="Arial" w:hAnsi="Arial" w:cs="Arial"/>
                <w:sz w:val="18"/>
                <w:szCs w:val="18"/>
              </w:rPr>
              <w:t>)</w:t>
            </w:r>
          </w:p>
        </w:tc>
        <w:tc>
          <w:tcPr>
            <w:tcW w:w="2435" w:type="dxa"/>
            <w:tcBorders>
              <w:top w:val="single" w:sz="5" w:space="0" w:color="000000"/>
              <w:left w:val="single" w:sz="5" w:space="0" w:color="000000"/>
              <w:bottom w:val="single" w:sz="5" w:space="0" w:color="000000"/>
              <w:right w:val="single" w:sz="5" w:space="0" w:color="000000"/>
            </w:tcBorders>
            <w:vAlign w:val="center"/>
          </w:tcPr>
          <w:p w14:paraId="5551A23F" w14:textId="255F66F4" w:rsidR="007E172C" w:rsidRDefault="00D83345" w:rsidP="008A4FBA">
            <w:pPr>
              <w:jc w:val="center"/>
              <w:rPr>
                <w:rFonts w:ascii="Arial" w:hAnsi="Arial" w:cs="Arial"/>
                <w:sz w:val="18"/>
                <w:szCs w:val="18"/>
              </w:rPr>
            </w:pPr>
            <w:r w:rsidRPr="00D83345">
              <w:rPr>
                <w:rFonts w:ascii="Arial" w:hAnsi="Arial" w:cs="Arial"/>
                <w:sz w:val="18"/>
                <w:szCs w:val="18"/>
              </w:rPr>
              <w:t>0.741</w:t>
            </w:r>
            <w:r>
              <w:rPr>
                <w:rFonts w:ascii="Arial" w:hAnsi="Arial" w:cs="Arial"/>
                <w:sz w:val="18"/>
                <w:szCs w:val="18"/>
              </w:rPr>
              <w:t xml:space="preserve"> (</w:t>
            </w:r>
            <w:r w:rsidRPr="00D83345">
              <w:rPr>
                <w:rFonts w:ascii="Arial" w:hAnsi="Arial" w:cs="Arial"/>
                <w:sz w:val="18"/>
                <w:szCs w:val="18"/>
              </w:rPr>
              <w:t>0.575</w:t>
            </w:r>
            <w:r>
              <w:rPr>
                <w:rFonts w:ascii="Arial" w:hAnsi="Arial" w:cs="Arial"/>
                <w:sz w:val="18"/>
                <w:szCs w:val="18"/>
              </w:rPr>
              <w:t>-</w:t>
            </w:r>
            <w:r w:rsidRPr="00D83345">
              <w:rPr>
                <w:rFonts w:ascii="Arial" w:hAnsi="Arial" w:cs="Arial"/>
                <w:sz w:val="18"/>
                <w:szCs w:val="18"/>
              </w:rPr>
              <w:t>0.954</w:t>
            </w:r>
            <w:r>
              <w:rPr>
                <w:rFonts w:ascii="Arial" w:hAnsi="Arial" w:cs="Arial"/>
                <w:sz w:val="18"/>
                <w:szCs w:val="18"/>
              </w:rPr>
              <w:t>)</w:t>
            </w:r>
          </w:p>
        </w:tc>
        <w:tc>
          <w:tcPr>
            <w:tcW w:w="2435" w:type="dxa"/>
            <w:tcBorders>
              <w:top w:val="single" w:sz="5" w:space="0" w:color="000000"/>
              <w:left w:val="single" w:sz="5" w:space="0" w:color="000000"/>
              <w:bottom w:val="single" w:sz="5" w:space="0" w:color="000000"/>
              <w:right w:val="single" w:sz="5" w:space="0" w:color="000000"/>
            </w:tcBorders>
            <w:vAlign w:val="center"/>
          </w:tcPr>
          <w:p w14:paraId="37CA1CC9" w14:textId="0EAF42E0" w:rsidR="007E172C" w:rsidRDefault="008B78B7" w:rsidP="008A4FBA">
            <w:pPr>
              <w:jc w:val="center"/>
              <w:rPr>
                <w:rFonts w:ascii="Arial" w:hAnsi="Arial" w:cs="Arial"/>
                <w:sz w:val="18"/>
                <w:szCs w:val="18"/>
              </w:rPr>
            </w:pPr>
            <w:r w:rsidRPr="008B78B7">
              <w:rPr>
                <w:rFonts w:ascii="Arial" w:hAnsi="Arial" w:cs="Arial"/>
                <w:sz w:val="18"/>
                <w:szCs w:val="18"/>
              </w:rPr>
              <w:t>0.741 (0.575-0.954)</w:t>
            </w:r>
          </w:p>
        </w:tc>
      </w:tr>
    </w:tbl>
    <w:p w14:paraId="4046DC81" w14:textId="77777777" w:rsidR="007E172C" w:rsidRDefault="007E172C" w:rsidP="007E172C">
      <w:pPr>
        <w:rPr>
          <w:rFonts w:cs="Times New Roman"/>
          <w:lang w:val="en-IE"/>
        </w:rPr>
      </w:pPr>
    </w:p>
    <w:p w14:paraId="26C9F370" w14:textId="77777777" w:rsidR="007E172C" w:rsidRDefault="007E172C" w:rsidP="007E172C">
      <w:pPr>
        <w:pStyle w:val="Heading2"/>
        <w:rPr>
          <w:lang w:val="en-IE"/>
        </w:rPr>
      </w:pPr>
      <w:r>
        <w:rPr>
          <w:lang w:val="en-IE"/>
        </w:rPr>
        <w:t>Health-related quality of life</w:t>
      </w:r>
    </w:p>
    <w:p w14:paraId="2C8CD932" w14:textId="7DC09818" w:rsidR="007E172C" w:rsidRDefault="007E172C" w:rsidP="007E172C">
      <w:pPr>
        <w:rPr>
          <w:lang w:val="en-IE"/>
        </w:rPr>
      </w:pPr>
      <w:r>
        <w:rPr>
          <w:lang w:val="en-IE"/>
        </w:rPr>
        <w:t>Utility weights were attached to the time spent in each of the health states to reflect the health-related quality of life (HRQoL) of patients residing in each state.  A</w:t>
      </w:r>
      <w:r w:rsidRPr="00756A78">
        <w:rPr>
          <w:lang w:val="en-IE"/>
        </w:rPr>
        <w:t xml:space="preserve"> distinct </w:t>
      </w:r>
      <w:r>
        <w:rPr>
          <w:lang w:val="en-IE"/>
        </w:rPr>
        <w:t xml:space="preserve">utility value </w:t>
      </w:r>
      <w:r w:rsidRPr="00756A78">
        <w:rPr>
          <w:lang w:val="en-IE"/>
        </w:rPr>
        <w:t>by treatment arm</w:t>
      </w:r>
      <w:r>
        <w:rPr>
          <w:lang w:val="en-IE"/>
        </w:rPr>
        <w:t xml:space="preserve"> was applied to the pre-progression health state</w:t>
      </w:r>
      <w:r w:rsidRPr="00756A78">
        <w:rPr>
          <w:lang w:val="en-IE"/>
        </w:rPr>
        <w:t xml:space="preserve"> to account for the </w:t>
      </w:r>
      <w:r>
        <w:rPr>
          <w:lang w:val="en-IE"/>
        </w:rPr>
        <w:t xml:space="preserve">different </w:t>
      </w:r>
      <w:r w:rsidRPr="00756A78">
        <w:rPr>
          <w:lang w:val="en-IE"/>
        </w:rPr>
        <w:t>tolerability profile</w:t>
      </w:r>
      <w:r>
        <w:rPr>
          <w:lang w:val="en-IE"/>
        </w:rPr>
        <w:t>s</w:t>
      </w:r>
      <w:r w:rsidRPr="00756A78">
        <w:rPr>
          <w:lang w:val="en-IE"/>
        </w:rPr>
        <w:t xml:space="preserve"> of </w:t>
      </w:r>
      <w:r>
        <w:rPr>
          <w:lang w:val="en-IE"/>
        </w:rPr>
        <w:t>the two pharmacological agents.</w:t>
      </w:r>
    </w:p>
    <w:p w14:paraId="32750DE9" w14:textId="5DC98F98" w:rsidR="007E172C" w:rsidRDefault="007E172C" w:rsidP="007E172C">
      <w:pPr>
        <w:rPr>
          <w:lang w:val="en-IE"/>
        </w:rPr>
      </w:pPr>
      <w:r w:rsidRPr="00F8186B">
        <w:rPr>
          <w:lang w:val="en-IE"/>
        </w:rPr>
        <w:lastRenderedPageBreak/>
        <w:t xml:space="preserve">For progression-free survival, utility </w:t>
      </w:r>
      <w:r>
        <w:rPr>
          <w:lang w:val="en-IE"/>
        </w:rPr>
        <w:t>values were</w:t>
      </w:r>
      <w:r w:rsidRPr="00F8186B">
        <w:rPr>
          <w:lang w:val="en-IE"/>
        </w:rPr>
        <w:t xml:space="preserve"> estimated by mapping values from the EORTC QLQ-C30 questionnaire to the </w:t>
      </w:r>
      <w:proofErr w:type="spellStart"/>
      <w:r w:rsidRPr="00F8186B">
        <w:rPr>
          <w:lang w:val="en-IE"/>
        </w:rPr>
        <w:t>EuroQoL</w:t>
      </w:r>
      <w:proofErr w:type="spellEnd"/>
      <w:r w:rsidRPr="00F8186B">
        <w:rPr>
          <w:lang w:val="en-IE"/>
        </w:rPr>
        <w:t xml:space="preserve"> EQ-5D-3L based on patient-level data from</w:t>
      </w:r>
      <w:r>
        <w:rPr>
          <w:lang w:val="en-IE"/>
        </w:rPr>
        <w:t xml:space="preserve"> a single-arm trial of the intervention</w:t>
      </w:r>
      <w:r w:rsidR="009D6F18">
        <w:rPr>
          <w:lang w:val="en-IE"/>
        </w:rPr>
        <w:t xml:space="preserve"> </w:t>
      </w:r>
      <w:r w:rsidR="004A45FF">
        <w:rPr>
          <w:lang w:val="en-IE"/>
        </w:rPr>
        <w:fldChar w:fldCharType="begin"/>
      </w:r>
      <w:r w:rsidR="004A45FF">
        <w:rPr>
          <w:lang w:val="en-IE"/>
        </w:rPr>
        <w:instrText xml:space="preserve"> ADDIN EN.CITE &lt;EndNote&gt;&lt;Cite&gt;&lt;Author&gt;Young&lt;/Author&gt;&lt;Year&gt;2015&lt;/Year&gt;&lt;RecNum&gt;19&lt;/RecNum&gt;&lt;DisplayText&gt;[3]&lt;/DisplayText&gt;&lt;record&gt;&lt;rec-number&gt;19&lt;/rec-number&gt;&lt;foreign-keys&gt;&lt;key app="EN" db-id="z0r0wfdfnev9tjeprpyp0zx6sdapx5xp529x" timestamp="1633087462"&gt;19&lt;/key&gt;&lt;/foreign-keys&gt;&lt;ref-type name="Journal Article"&gt;17&lt;/ref-type&gt;&lt;contributors&gt;&lt;authors&gt;&lt;author&gt;Young, Tracey A&lt;/author&gt;&lt;author&gt;Mukuria, Clara&lt;/author&gt;&lt;author&gt;Rowen, Donna&lt;/author&gt;&lt;author&gt;Brazier, John E&lt;/author&gt;&lt;author&gt;Longworth, Louise&lt;/author&gt;&lt;/authors&gt;&lt;/contributors&gt;&lt;titles&gt;&lt;title&gt;Mapping functions in health-related quality of life: mapping from two cancer-specific health-related quality-of-life instruments to EQ-5D-3L&lt;/title&gt;&lt;secondary-title&gt;Medical Decision Making&lt;/secondary-title&gt;&lt;/titles&gt;&lt;periodical&gt;&lt;full-title&gt;Medical Decision Making&lt;/full-title&gt;&lt;/periodical&gt;&lt;pages&gt;912-926&lt;/pages&gt;&lt;volume&gt;35&lt;/volume&gt;&lt;number&gt;7&lt;/number&gt;&lt;dates&gt;&lt;year&gt;2015&lt;/year&gt;&lt;/dates&gt;&lt;isbn&gt;0272-989X&lt;/isbn&gt;&lt;urls&gt;&lt;/urls&gt;&lt;/record&gt;&lt;/Cite&gt;&lt;/EndNote&gt;</w:instrText>
      </w:r>
      <w:r w:rsidR="004A45FF">
        <w:rPr>
          <w:lang w:val="en-IE"/>
        </w:rPr>
        <w:fldChar w:fldCharType="separate"/>
      </w:r>
      <w:r w:rsidR="004A45FF">
        <w:rPr>
          <w:noProof/>
          <w:lang w:val="en-IE"/>
        </w:rPr>
        <w:t>[3]</w:t>
      </w:r>
      <w:r w:rsidR="004A45FF">
        <w:rPr>
          <w:lang w:val="en-IE"/>
        </w:rPr>
        <w:fldChar w:fldCharType="end"/>
      </w:r>
      <w:r w:rsidRPr="00F8186B">
        <w:rPr>
          <w:lang w:val="en-IE"/>
        </w:rPr>
        <w:t>. The tariff scoring algorithm</w:t>
      </w:r>
      <w:r>
        <w:rPr>
          <w:lang w:val="en-IE"/>
        </w:rPr>
        <w:t xml:space="preserve"> was used to derive utility values using a valu</w:t>
      </w:r>
      <w:r w:rsidRPr="00F8186B">
        <w:rPr>
          <w:lang w:val="en-IE"/>
        </w:rPr>
        <w:t>e set from England</w:t>
      </w:r>
      <w:r w:rsidR="006F455C">
        <w:rPr>
          <w:lang w:val="en-IE"/>
        </w:rPr>
        <w:t xml:space="preserve"> </w:t>
      </w:r>
      <w:r w:rsidR="006F455C">
        <w:rPr>
          <w:lang w:val="en-IE"/>
        </w:rPr>
        <w:fldChar w:fldCharType="begin"/>
      </w:r>
      <w:r w:rsidR="006F455C">
        <w:rPr>
          <w:lang w:val="en-IE"/>
        </w:rPr>
        <w:instrText xml:space="preserve"> ADDIN EN.CITE &lt;EndNote&gt;&lt;Cite&gt;&lt;Author&gt;Office of Health Economics&lt;/Author&gt;&lt;Year&gt;2014&lt;/Year&gt;&lt;RecNum&gt;20&lt;/RecNum&gt;&lt;DisplayText&gt;[4]&lt;/DisplayText&gt;&lt;record&gt;&lt;rec-number&gt;20&lt;/rec-number&gt;&lt;foreign-keys&gt;&lt;key app="EN" db-id="z0r0wfdfnev9tjeprpyp0zx6sdapx5xp529x" timestamp="1633088463"&gt;20&lt;/key&gt;&lt;/foreign-keys&gt;&lt;ref-type name="Web Page"&gt;12&lt;/ref-type&gt;&lt;contributors&gt;&lt;authors&gt;&lt;author&gt;Office of Health Economics,&lt;/author&gt;&lt;/authors&gt;&lt;/contributors&gt;&lt;titles&gt;&lt;title&gt;OHE Seminar Launches ‘An EQ-5D-5L Value Set for England’&lt;/title&gt;&lt;/titles&gt;&lt;dates&gt;&lt;year&gt;2014&lt;/year&gt;&lt;/dates&gt;&lt;urls&gt;&lt;related-urls&gt;&lt;url&gt;https://www.ohe.org/news/ohe-seminar-launches-eq-5d-5l-value-set-england&lt;/url&gt;&lt;/related-urls&gt;&lt;/urls&gt;&lt;/record&gt;&lt;/Cite&gt;&lt;/EndNote&gt;</w:instrText>
      </w:r>
      <w:r w:rsidR="006F455C">
        <w:rPr>
          <w:lang w:val="en-IE"/>
        </w:rPr>
        <w:fldChar w:fldCharType="separate"/>
      </w:r>
      <w:r w:rsidR="006F455C">
        <w:rPr>
          <w:noProof/>
          <w:lang w:val="en-IE"/>
        </w:rPr>
        <w:t>[4]</w:t>
      </w:r>
      <w:r w:rsidR="006F455C">
        <w:rPr>
          <w:lang w:val="en-IE"/>
        </w:rPr>
        <w:fldChar w:fldCharType="end"/>
      </w:r>
      <w:r w:rsidRPr="00F8186B">
        <w:rPr>
          <w:lang w:val="en-IE"/>
        </w:rPr>
        <w:t xml:space="preserve">. </w:t>
      </w:r>
    </w:p>
    <w:p w14:paraId="4FA366B4" w14:textId="4BD49E91" w:rsidR="007E172C" w:rsidRPr="00EB44B1" w:rsidRDefault="007E172C" w:rsidP="007E172C">
      <w:pPr>
        <w:pStyle w:val="BodyText"/>
        <w:rPr>
          <w:rFonts w:ascii="Times New Roman" w:hAnsi="Times New Roman"/>
          <w:lang w:val="en-IE"/>
        </w:rPr>
      </w:pPr>
      <w:r w:rsidRPr="00EB44B1">
        <w:rPr>
          <w:rFonts w:ascii="Times New Roman" w:hAnsi="Times New Roman"/>
          <w:lang w:val="en-IE"/>
        </w:rPr>
        <w:t>For patients with progressed disease, evidence from published literature was used to inform their utility values</w:t>
      </w:r>
      <w:r w:rsidR="00EE50A0">
        <w:rPr>
          <w:rFonts w:ascii="Times New Roman" w:hAnsi="Times New Roman"/>
          <w:lang w:val="en-IE"/>
        </w:rPr>
        <w:t xml:space="preserve"> </w:t>
      </w:r>
      <w:r w:rsidRPr="00EB44B1">
        <w:rPr>
          <w:rFonts w:ascii="Times New Roman" w:hAnsi="Times New Roman"/>
          <w:lang w:val="en-IE"/>
        </w:rPr>
        <w:fldChar w:fldCharType="begin">
          <w:fldData xml:space="preserve">PEVuZE5vdGU+PENpdGUgQXV0aG9yWWVhcj0iMSI+PEF1dGhvcj5DaG91YWlkPC9BdXRob3I+PFll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=
</w:fldData>
        </w:fldChar>
      </w:r>
      <w:r w:rsidR="008901CB">
        <w:rPr>
          <w:rFonts w:ascii="Times New Roman" w:hAnsi="Times New Roman"/>
          <w:lang w:val="en-IE"/>
        </w:rPr>
        <w:instrText xml:space="preserve"> ADDIN EN.CITE </w:instrText>
      </w:r>
      <w:r w:rsidR="008901CB">
        <w:rPr>
          <w:rFonts w:ascii="Times New Roman" w:hAnsi="Times New Roman"/>
          <w:lang w:val="en-IE"/>
        </w:rPr>
        <w:fldChar w:fldCharType="begin">
          <w:fldData xml:space="preserve">PEVuZE5vdGU+PENpdGUgQXV0aG9yWWVhcj0iMSI+PEF1dGhvcj5DaG91YWlkPC9BdXRob3I+PFll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=
</w:fldData>
        </w:fldChar>
      </w:r>
      <w:r w:rsidR="008901CB">
        <w:rPr>
          <w:rFonts w:ascii="Times New Roman" w:hAnsi="Times New Roman"/>
          <w:lang w:val="en-IE"/>
        </w:rPr>
        <w:instrText xml:space="preserve"> ADDIN EN.CITE.DATA </w:instrText>
      </w:r>
      <w:r w:rsidR="008901CB">
        <w:rPr>
          <w:rFonts w:ascii="Times New Roman" w:hAnsi="Times New Roman"/>
          <w:lang w:val="en-IE"/>
        </w:rPr>
      </w:r>
      <w:r w:rsidR="008901CB">
        <w:rPr>
          <w:rFonts w:ascii="Times New Roman" w:hAnsi="Times New Roman"/>
          <w:lang w:val="en-IE"/>
        </w:rPr>
        <w:fldChar w:fldCharType="end"/>
      </w:r>
      <w:r w:rsidRPr="00EB44B1">
        <w:rPr>
          <w:rFonts w:ascii="Times New Roman" w:hAnsi="Times New Roman"/>
          <w:lang w:val="en-IE"/>
        </w:rPr>
      </w:r>
      <w:r w:rsidRPr="00EB44B1">
        <w:rPr>
          <w:rFonts w:ascii="Times New Roman" w:hAnsi="Times New Roman"/>
          <w:lang w:val="en-IE"/>
        </w:rPr>
        <w:fldChar w:fldCharType="end"/>
      </w:r>
      <w:r w:rsidR="008901CB">
        <w:rPr>
          <w:rFonts w:ascii="Times New Roman" w:hAnsi="Times New Roman"/>
          <w:lang w:val="en-IE"/>
        </w:rPr>
        <w:t xml:space="preserve"> [5]</w:t>
      </w:r>
      <w:r w:rsidRPr="00EB44B1">
        <w:rPr>
          <w:rFonts w:ascii="Times New Roman" w:hAnsi="Times New Roman"/>
          <w:lang w:val="en-IE"/>
        </w:rPr>
        <w:t>.</w:t>
      </w:r>
    </w:p>
    <w:p w14:paraId="4AA7F709" w14:textId="6097D80A" w:rsidR="007E172C" w:rsidRDefault="007E172C" w:rsidP="007E172C">
      <w:pPr>
        <w:rPr>
          <w:lang w:val="en-IE"/>
        </w:rPr>
      </w:pPr>
      <w:r>
        <w:rPr>
          <w:lang w:val="en-IE"/>
        </w:rPr>
        <w:t xml:space="preserve">Disutility values associated with adverse events were not considered explicitly in the model as values used to inform utility parameters of the pre-progression health state were derived from the clinical trial of each of the two treatments. </w:t>
      </w:r>
    </w:p>
    <w:p w14:paraId="28BCE079" w14:textId="4C8203C7" w:rsidR="007E172C" w:rsidRDefault="007E172C" w:rsidP="007E172C">
      <w:pPr>
        <w:pStyle w:val="Caption"/>
      </w:pPr>
      <w:bookmarkStart w:id="5" w:name="_Toc73090738"/>
      <w:r>
        <w:t xml:space="preserve">Table </w:t>
      </w:r>
      <w:r>
        <w:fldChar w:fldCharType="begin"/>
      </w:r>
      <w:r>
        <w:instrText>SEQ Table \* ARABIC</w:instrText>
      </w:r>
      <w:r>
        <w:fldChar w:fldCharType="separate"/>
      </w:r>
      <w:r w:rsidR="00EB44B1">
        <w:rPr>
          <w:noProof/>
        </w:rPr>
        <w:t>3</w:t>
      </w:r>
      <w:r>
        <w:fldChar w:fldCharType="end"/>
      </w:r>
      <w:r>
        <w:rPr>
          <w:lang w:val="en-GB"/>
        </w:rPr>
        <w:t xml:space="preserve">. </w:t>
      </w:r>
      <w:r w:rsidRPr="00632A4E">
        <w:rPr>
          <w:lang w:val="en-GB"/>
        </w:rPr>
        <w:t xml:space="preserve">Summary of utility values used </w:t>
      </w:r>
      <w:bookmarkEnd w:id="5"/>
      <w:r>
        <w:rPr>
          <w:lang w:val="en-GB"/>
        </w:rPr>
        <w:t>in the CEM</w:t>
      </w:r>
    </w:p>
    <w:tbl>
      <w:tblPr>
        <w:tblW w:w="9498" w:type="dxa"/>
        <w:tblInd w:w="-6" w:type="dxa"/>
        <w:tblLayout w:type="fixed"/>
        <w:tblCellMar>
          <w:left w:w="0" w:type="dxa"/>
          <w:right w:w="0" w:type="dxa"/>
        </w:tblCellMar>
        <w:tblLook w:val="01E0" w:firstRow="1" w:lastRow="1" w:firstColumn="1" w:lastColumn="1" w:noHBand="0" w:noVBand="0"/>
      </w:tblPr>
      <w:tblGrid>
        <w:gridCol w:w="2834"/>
        <w:gridCol w:w="1702"/>
        <w:gridCol w:w="4962"/>
      </w:tblGrid>
      <w:tr w:rsidR="007E172C" w:rsidRPr="00D539D9" w14:paraId="3BBBCDFF" w14:textId="77777777" w:rsidTr="008A4FBA">
        <w:trPr>
          <w:trHeight w:hRule="exact" w:val="745"/>
        </w:trPr>
        <w:tc>
          <w:tcPr>
            <w:tcW w:w="2834" w:type="dxa"/>
            <w:tcBorders>
              <w:top w:val="single" w:sz="5" w:space="0" w:color="000000"/>
              <w:left w:val="single" w:sz="5" w:space="0" w:color="000000"/>
              <w:bottom w:val="single" w:sz="5" w:space="0" w:color="000000"/>
              <w:right w:val="single" w:sz="5" w:space="0" w:color="000000"/>
            </w:tcBorders>
            <w:vAlign w:val="center"/>
          </w:tcPr>
          <w:p w14:paraId="70FC5161" w14:textId="77777777" w:rsidR="007E172C" w:rsidRPr="00D539D9" w:rsidRDefault="007E172C" w:rsidP="008A4FBA">
            <w:pPr>
              <w:spacing w:before="16"/>
              <w:ind w:left="120" w:right="-56"/>
              <w:rPr>
                <w:rFonts w:ascii="Arial" w:hAnsi="Arial" w:cs="Arial"/>
                <w:b/>
                <w:sz w:val="18"/>
                <w:szCs w:val="18"/>
              </w:rPr>
            </w:pPr>
            <w:r>
              <w:rPr>
                <w:rFonts w:ascii="Arial" w:eastAsia="Arial" w:hAnsi="Arial" w:cs="Arial"/>
                <w:b/>
                <w:sz w:val="18"/>
                <w:szCs w:val="18"/>
              </w:rPr>
              <w:t>Health s</w:t>
            </w:r>
            <w:r w:rsidRPr="00D539D9">
              <w:rPr>
                <w:rFonts w:ascii="Arial" w:eastAsia="Arial" w:hAnsi="Arial" w:cs="Arial"/>
                <w:b/>
                <w:sz w:val="18"/>
                <w:szCs w:val="18"/>
              </w:rPr>
              <w:t>tate</w:t>
            </w:r>
          </w:p>
        </w:tc>
        <w:tc>
          <w:tcPr>
            <w:tcW w:w="1702" w:type="dxa"/>
            <w:tcBorders>
              <w:top w:val="single" w:sz="5" w:space="0" w:color="000000"/>
              <w:left w:val="single" w:sz="5" w:space="0" w:color="000000"/>
              <w:bottom w:val="single" w:sz="5" w:space="0" w:color="000000"/>
              <w:right w:val="single" w:sz="5" w:space="0" w:color="000000"/>
            </w:tcBorders>
            <w:vAlign w:val="center"/>
          </w:tcPr>
          <w:p w14:paraId="1ACAE4C3" w14:textId="77777777" w:rsidR="007E172C" w:rsidRPr="00D539D9" w:rsidRDefault="007E172C" w:rsidP="008A4FBA">
            <w:pPr>
              <w:spacing w:before="16"/>
              <w:ind w:left="120" w:right="-56"/>
              <w:jc w:val="center"/>
              <w:rPr>
                <w:rFonts w:ascii="Arial" w:eastAsia="Arial" w:hAnsi="Arial" w:cs="Arial"/>
                <w:b/>
                <w:sz w:val="18"/>
                <w:szCs w:val="18"/>
              </w:rPr>
            </w:pPr>
            <w:r w:rsidRPr="00D539D9">
              <w:rPr>
                <w:rFonts w:ascii="Arial" w:eastAsia="Arial" w:hAnsi="Arial" w:cs="Arial"/>
                <w:b/>
                <w:sz w:val="18"/>
                <w:szCs w:val="18"/>
              </w:rPr>
              <w:t>Utility</w:t>
            </w:r>
            <w:r w:rsidRPr="00D539D9">
              <w:rPr>
                <w:rFonts w:ascii="Arial" w:eastAsia="Arial" w:hAnsi="Arial" w:cs="Arial"/>
                <w:b/>
                <w:spacing w:val="-2"/>
                <w:sz w:val="18"/>
                <w:szCs w:val="18"/>
              </w:rPr>
              <w:t xml:space="preserve"> </w:t>
            </w:r>
            <w:r w:rsidRPr="00D539D9">
              <w:rPr>
                <w:rFonts w:ascii="Arial" w:eastAsia="Arial" w:hAnsi="Arial" w:cs="Arial"/>
                <w:b/>
                <w:sz w:val="18"/>
                <w:szCs w:val="18"/>
              </w:rPr>
              <w:t>value</w:t>
            </w:r>
          </w:p>
          <w:p w14:paraId="74B6BD51" w14:textId="77777777" w:rsidR="007E172C" w:rsidRPr="00D539D9" w:rsidRDefault="007E172C" w:rsidP="008A4FBA">
            <w:pPr>
              <w:spacing w:before="16"/>
              <w:ind w:left="120" w:right="-56"/>
              <w:jc w:val="center"/>
              <w:rPr>
                <w:rFonts w:ascii="Arial" w:hAnsi="Arial" w:cs="Arial"/>
                <w:b/>
                <w:sz w:val="18"/>
                <w:szCs w:val="18"/>
              </w:rPr>
            </w:pPr>
            <w:r w:rsidRPr="00D539D9">
              <w:rPr>
                <w:rFonts w:ascii="Arial" w:eastAsia="Arial" w:hAnsi="Arial" w:cs="Arial"/>
                <w:b/>
                <w:sz w:val="18"/>
                <w:szCs w:val="18"/>
              </w:rPr>
              <w:t>Mean</w:t>
            </w:r>
            <w:r>
              <w:rPr>
                <w:rFonts w:ascii="Arial" w:eastAsia="Arial" w:hAnsi="Arial" w:cs="Arial"/>
                <w:b/>
                <w:sz w:val="18"/>
                <w:szCs w:val="18"/>
              </w:rPr>
              <w:t xml:space="preserve"> (SE)</w:t>
            </w:r>
          </w:p>
        </w:tc>
        <w:tc>
          <w:tcPr>
            <w:tcW w:w="4962" w:type="dxa"/>
            <w:tcBorders>
              <w:top w:val="single" w:sz="5" w:space="0" w:color="000000"/>
              <w:left w:val="single" w:sz="5" w:space="0" w:color="000000"/>
              <w:bottom w:val="single" w:sz="5" w:space="0" w:color="000000"/>
              <w:right w:val="single" w:sz="5" w:space="0" w:color="000000"/>
            </w:tcBorders>
            <w:vAlign w:val="center"/>
          </w:tcPr>
          <w:p w14:paraId="2189BA46" w14:textId="77777777" w:rsidR="007E172C" w:rsidRPr="00D539D9" w:rsidRDefault="007E172C" w:rsidP="008A4FBA">
            <w:pPr>
              <w:jc w:val="center"/>
              <w:rPr>
                <w:rFonts w:ascii="Arial" w:hAnsi="Arial" w:cs="Arial"/>
                <w:b/>
                <w:sz w:val="18"/>
                <w:szCs w:val="18"/>
              </w:rPr>
            </w:pPr>
            <w:r w:rsidRPr="00D539D9">
              <w:rPr>
                <w:rFonts w:ascii="Arial" w:eastAsia="Arial" w:hAnsi="Arial" w:cs="Arial"/>
                <w:b/>
                <w:sz w:val="18"/>
                <w:szCs w:val="18"/>
              </w:rPr>
              <w:t>Referenc</w:t>
            </w:r>
            <w:r>
              <w:rPr>
                <w:rFonts w:ascii="Arial" w:eastAsia="Arial" w:hAnsi="Arial" w:cs="Arial"/>
                <w:b/>
                <w:sz w:val="18"/>
                <w:szCs w:val="18"/>
              </w:rPr>
              <w:t>e</w:t>
            </w:r>
          </w:p>
        </w:tc>
      </w:tr>
      <w:tr w:rsidR="007E172C" w:rsidRPr="00D539D9" w14:paraId="560648B7" w14:textId="77777777" w:rsidTr="008A4FBA">
        <w:trPr>
          <w:trHeight w:hRule="exact" w:val="542"/>
        </w:trPr>
        <w:tc>
          <w:tcPr>
            <w:tcW w:w="2834" w:type="dxa"/>
            <w:tcBorders>
              <w:top w:val="single" w:sz="5" w:space="0" w:color="000000"/>
              <w:left w:val="single" w:sz="5" w:space="0" w:color="000000"/>
              <w:bottom w:val="single" w:sz="5" w:space="0" w:color="000000"/>
              <w:right w:val="single" w:sz="5" w:space="0" w:color="000000"/>
            </w:tcBorders>
            <w:vAlign w:val="center"/>
          </w:tcPr>
          <w:p w14:paraId="2EDA7CD0" w14:textId="77777777" w:rsidR="007E172C" w:rsidRPr="00D539D9" w:rsidRDefault="007E172C" w:rsidP="008A4FBA">
            <w:pPr>
              <w:spacing w:before="3" w:line="240" w:lineRule="exact"/>
              <w:ind w:left="102" w:right="227"/>
              <w:jc w:val="left"/>
              <w:rPr>
                <w:rFonts w:ascii="Arial" w:eastAsia="Arial" w:hAnsi="Arial" w:cs="Arial"/>
                <w:sz w:val="18"/>
                <w:szCs w:val="18"/>
              </w:rPr>
            </w:pPr>
            <w:r w:rsidRPr="00D539D9">
              <w:rPr>
                <w:rFonts w:ascii="Arial" w:eastAsia="Arial" w:hAnsi="Arial" w:cs="Arial"/>
                <w:sz w:val="18"/>
                <w:szCs w:val="18"/>
              </w:rPr>
              <w:t xml:space="preserve">PFS health state - </w:t>
            </w:r>
            <w:r>
              <w:rPr>
                <w:rFonts w:ascii="Arial" w:eastAsia="Arial" w:hAnsi="Arial" w:cs="Arial"/>
                <w:sz w:val="18"/>
                <w:szCs w:val="18"/>
              </w:rPr>
              <w:t>intervention</w:t>
            </w:r>
          </w:p>
        </w:tc>
        <w:tc>
          <w:tcPr>
            <w:tcW w:w="1702" w:type="dxa"/>
            <w:tcBorders>
              <w:top w:val="single" w:sz="5" w:space="0" w:color="000000"/>
              <w:left w:val="single" w:sz="5" w:space="0" w:color="000000"/>
              <w:bottom w:val="single" w:sz="5" w:space="0" w:color="000000"/>
              <w:right w:val="single" w:sz="5" w:space="0" w:color="000000"/>
            </w:tcBorders>
            <w:vAlign w:val="center"/>
          </w:tcPr>
          <w:p w14:paraId="0EF314DA" w14:textId="77777777" w:rsidR="007E172C" w:rsidRPr="00D539D9" w:rsidRDefault="007E172C" w:rsidP="008A4FBA">
            <w:pPr>
              <w:jc w:val="center"/>
              <w:rPr>
                <w:rFonts w:ascii="Arial" w:hAnsi="Arial" w:cs="Arial"/>
                <w:sz w:val="18"/>
                <w:szCs w:val="18"/>
              </w:rPr>
            </w:pPr>
            <w:r>
              <w:rPr>
                <w:rFonts w:ascii="Arial" w:hAnsi="Arial" w:cs="Arial"/>
                <w:sz w:val="18"/>
                <w:szCs w:val="18"/>
              </w:rPr>
              <w:t>0.787 (0.121)</w:t>
            </w:r>
          </w:p>
        </w:tc>
        <w:tc>
          <w:tcPr>
            <w:tcW w:w="4962" w:type="dxa"/>
            <w:tcBorders>
              <w:top w:val="single" w:sz="5" w:space="0" w:color="000000"/>
              <w:left w:val="single" w:sz="5" w:space="0" w:color="000000"/>
              <w:bottom w:val="single" w:sz="5" w:space="0" w:color="000000"/>
              <w:right w:val="single" w:sz="5" w:space="0" w:color="000000"/>
            </w:tcBorders>
            <w:vAlign w:val="center"/>
          </w:tcPr>
          <w:p w14:paraId="1E73A825" w14:textId="77777777" w:rsidR="007E172C" w:rsidRPr="00D539D9" w:rsidRDefault="007E172C" w:rsidP="008A4FBA">
            <w:pPr>
              <w:jc w:val="center"/>
              <w:rPr>
                <w:rFonts w:ascii="Arial" w:hAnsi="Arial" w:cs="Arial"/>
                <w:sz w:val="18"/>
                <w:szCs w:val="18"/>
              </w:rPr>
            </w:pPr>
            <w:r>
              <w:rPr>
                <w:rFonts w:ascii="Arial" w:hAnsi="Arial" w:cs="Arial"/>
                <w:sz w:val="18"/>
                <w:szCs w:val="18"/>
              </w:rPr>
              <w:t>Intervention trial data</w:t>
            </w:r>
          </w:p>
        </w:tc>
      </w:tr>
      <w:tr w:rsidR="007E172C" w:rsidRPr="00D539D9" w14:paraId="5BF0F268" w14:textId="77777777" w:rsidTr="008A4FBA">
        <w:trPr>
          <w:trHeight w:hRule="exact" w:val="731"/>
        </w:trPr>
        <w:tc>
          <w:tcPr>
            <w:tcW w:w="2834" w:type="dxa"/>
            <w:tcBorders>
              <w:top w:val="single" w:sz="5" w:space="0" w:color="000000"/>
              <w:left w:val="single" w:sz="5" w:space="0" w:color="000000"/>
              <w:bottom w:val="single" w:sz="5" w:space="0" w:color="000000"/>
              <w:right w:val="single" w:sz="5" w:space="0" w:color="000000"/>
            </w:tcBorders>
            <w:vAlign w:val="center"/>
          </w:tcPr>
          <w:p w14:paraId="4A2073F0" w14:textId="77777777" w:rsidR="007E172C" w:rsidRPr="00D539D9" w:rsidRDefault="007E172C" w:rsidP="008A4FBA">
            <w:pPr>
              <w:spacing w:before="3" w:line="240" w:lineRule="exact"/>
              <w:ind w:left="102" w:right="227"/>
              <w:jc w:val="left"/>
              <w:rPr>
                <w:rFonts w:ascii="Arial" w:eastAsia="Arial" w:hAnsi="Arial" w:cs="Arial"/>
                <w:sz w:val="18"/>
                <w:szCs w:val="18"/>
              </w:rPr>
            </w:pPr>
            <w:r w:rsidRPr="00D539D9">
              <w:rPr>
                <w:rFonts w:ascii="Arial" w:eastAsia="Arial" w:hAnsi="Arial" w:cs="Arial"/>
                <w:sz w:val="18"/>
                <w:szCs w:val="18"/>
              </w:rPr>
              <w:t xml:space="preserve">PFS health state - </w:t>
            </w:r>
            <w:r>
              <w:rPr>
                <w:rFonts w:ascii="Arial" w:eastAsia="Arial" w:hAnsi="Arial" w:cs="Arial"/>
                <w:sz w:val="18"/>
                <w:szCs w:val="18"/>
              </w:rPr>
              <w:t>comparator</w:t>
            </w:r>
          </w:p>
        </w:tc>
        <w:tc>
          <w:tcPr>
            <w:tcW w:w="1702" w:type="dxa"/>
            <w:tcBorders>
              <w:top w:val="single" w:sz="5" w:space="0" w:color="000000"/>
              <w:left w:val="single" w:sz="5" w:space="0" w:color="000000"/>
              <w:bottom w:val="single" w:sz="5" w:space="0" w:color="000000"/>
              <w:right w:val="single" w:sz="5" w:space="0" w:color="000000"/>
            </w:tcBorders>
            <w:vAlign w:val="center"/>
          </w:tcPr>
          <w:p w14:paraId="5A0CA7C3" w14:textId="77777777" w:rsidR="007E172C" w:rsidRPr="00D539D9" w:rsidRDefault="007E172C" w:rsidP="008A4FBA">
            <w:pPr>
              <w:jc w:val="center"/>
              <w:rPr>
                <w:rFonts w:ascii="Arial" w:hAnsi="Arial" w:cs="Arial"/>
                <w:sz w:val="18"/>
                <w:szCs w:val="18"/>
              </w:rPr>
            </w:pPr>
            <w:r w:rsidRPr="00D539D9">
              <w:rPr>
                <w:rFonts w:ascii="Arial" w:hAnsi="Arial" w:cs="Arial"/>
                <w:sz w:val="18"/>
                <w:szCs w:val="18"/>
              </w:rPr>
              <w:t>0.730</w:t>
            </w:r>
            <w:r>
              <w:rPr>
                <w:rFonts w:ascii="Arial" w:hAnsi="Arial" w:cs="Arial"/>
                <w:sz w:val="18"/>
                <w:szCs w:val="18"/>
              </w:rPr>
              <w:t xml:space="preserve"> (0.121)</w:t>
            </w:r>
          </w:p>
        </w:tc>
        <w:tc>
          <w:tcPr>
            <w:tcW w:w="4962" w:type="dxa"/>
            <w:tcBorders>
              <w:top w:val="single" w:sz="5" w:space="0" w:color="000000"/>
              <w:left w:val="single" w:sz="5" w:space="0" w:color="000000"/>
              <w:bottom w:val="single" w:sz="5" w:space="0" w:color="000000"/>
              <w:right w:val="single" w:sz="5" w:space="0" w:color="000000"/>
            </w:tcBorders>
            <w:vAlign w:val="center"/>
          </w:tcPr>
          <w:p w14:paraId="328CBB0F" w14:textId="77777777" w:rsidR="007E172C" w:rsidRPr="00D539D9" w:rsidRDefault="007E172C" w:rsidP="008A4FBA">
            <w:pPr>
              <w:jc w:val="center"/>
              <w:rPr>
                <w:rFonts w:ascii="Arial" w:hAnsi="Arial" w:cs="Arial"/>
                <w:sz w:val="18"/>
                <w:szCs w:val="18"/>
              </w:rPr>
            </w:pPr>
            <w:r>
              <w:rPr>
                <w:rFonts w:ascii="Arial" w:hAnsi="Arial" w:cs="Arial"/>
                <w:sz w:val="18"/>
                <w:szCs w:val="18"/>
              </w:rPr>
              <w:t>Comparator HTA</w:t>
            </w:r>
            <w:r w:rsidRPr="008B2207">
              <w:rPr>
                <w:rFonts w:ascii="Arial" w:hAnsi="Arial" w:cs="Arial"/>
                <w:sz w:val="18"/>
                <w:szCs w:val="18"/>
              </w:rPr>
              <w:t xml:space="preserve"> submission</w:t>
            </w:r>
          </w:p>
        </w:tc>
      </w:tr>
      <w:tr w:rsidR="007E172C" w:rsidRPr="00D539D9" w14:paraId="393C315E" w14:textId="77777777" w:rsidTr="008A4FBA">
        <w:trPr>
          <w:trHeight w:hRule="exact" w:val="539"/>
        </w:trPr>
        <w:tc>
          <w:tcPr>
            <w:tcW w:w="2834" w:type="dxa"/>
            <w:tcBorders>
              <w:top w:val="single" w:sz="5" w:space="0" w:color="000000"/>
              <w:left w:val="single" w:sz="5" w:space="0" w:color="000000"/>
              <w:bottom w:val="single" w:sz="5" w:space="0" w:color="000000"/>
              <w:right w:val="single" w:sz="5" w:space="0" w:color="000000"/>
            </w:tcBorders>
            <w:vAlign w:val="center"/>
          </w:tcPr>
          <w:p w14:paraId="45907651" w14:textId="77777777" w:rsidR="007E172C" w:rsidRPr="00D539D9" w:rsidRDefault="007E172C" w:rsidP="008A4FBA">
            <w:pPr>
              <w:spacing w:before="3" w:line="240" w:lineRule="exact"/>
              <w:ind w:left="102" w:right="227"/>
              <w:jc w:val="left"/>
              <w:rPr>
                <w:rFonts w:ascii="Arial" w:eastAsia="Arial" w:hAnsi="Arial" w:cs="Arial"/>
                <w:sz w:val="18"/>
                <w:szCs w:val="18"/>
              </w:rPr>
            </w:pPr>
            <w:r w:rsidRPr="00D539D9">
              <w:rPr>
                <w:rFonts w:ascii="Arial" w:eastAsia="Arial" w:hAnsi="Arial" w:cs="Arial"/>
                <w:sz w:val="18"/>
                <w:szCs w:val="18"/>
              </w:rPr>
              <w:t>Progress</w:t>
            </w:r>
            <w:r>
              <w:rPr>
                <w:rFonts w:ascii="Arial" w:eastAsia="Arial" w:hAnsi="Arial" w:cs="Arial"/>
                <w:sz w:val="18"/>
                <w:szCs w:val="18"/>
              </w:rPr>
              <w:t>ed</w:t>
            </w:r>
            <w:r w:rsidRPr="00D539D9">
              <w:rPr>
                <w:rFonts w:ascii="Arial" w:eastAsia="Arial" w:hAnsi="Arial" w:cs="Arial"/>
                <w:spacing w:val="-9"/>
                <w:sz w:val="18"/>
                <w:szCs w:val="18"/>
              </w:rPr>
              <w:t xml:space="preserve"> </w:t>
            </w:r>
            <w:r w:rsidRPr="00D539D9">
              <w:rPr>
                <w:rFonts w:ascii="Arial" w:eastAsia="Arial" w:hAnsi="Arial" w:cs="Arial"/>
                <w:sz w:val="18"/>
                <w:szCs w:val="18"/>
              </w:rPr>
              <w:t>disease</w:t>
            </w:r>
          </w:p>
        </w:tc>
        <w:tc>
          <w:tcPr>
            <w:tcW w:w="1702" w:type="dxa"/>
            <w:tcBorders>
              <w:top w:val="single" w:sz="5" w:space="0" w:color="000000"/>
              <w:left w:val="single" w:sz="5" w:space="0" w:color="000000"/>
              <w:bottom w:val="single" w:sz="5" w:space="0" w:color="000000"/>
              <w:right w:val="single" w:sz="5" w:space="0" w:color="000000"/>
            </w:tcBorders>
            <w:vAlign w:val="center"/>
          </w:tcPr>
          <w:p w14:paraId="5217E8E7" w14:textId="77777777" w:rsidR="007E172C" w:rsidRPr="00D539D9" w:rsidRDefault="007E172C" w:rsidP="008A4FBA">
            <w:pPr>
              <w:ind w:left="102"/>
              <w:jc w:val="center"/>
              <w:rPr>
                <w:rFonts w:ascii="Arial" w:eastAsia="Arial" w:hAnsi="Arial" w:cs="Arial"/>
                <w:sz w:val="18"/>
                <w:szCs w:val="18"/>
              </w:rPr>
            </w:pPr>
            <w:r w:rsidRPr="00D539D9">
              <w:rPr>
                <w:rFonts w:ascii="Arial" w:eastAsia="Arial" w:hAnsi="Arial" w:cs="Arial"/>
                <w:sz w:val="18"/>
                <w:szCs w:val="18"/>
              </w:rPr>
              <w:t>0.460</w:t>
            </w:r>
            <w:r>
              <w:rPr>
                <w:rFonts w:ascii="Arial" w:eastAsia="Arial" w:hAnsi="Arial" w:cs="Arial"/>
                <w:sz w:val="18"/>
                <w:szCs w:val="18"/>
              </w:rPr>
              <w:t xml:space="preserve"> (0.121)</w:t>
            </w:r>
          </w:p>
        </w:tc>
        <w:tc>
          <w:tcPr>
            <w:tcW w:w="4962" w:type="dxa"/>
            <w:tcBorders>
              <w:top w:val="single" w:sz="5" w:space="0" w:color="000000"/>
              <w:left w:val="single" w:sz="5" w:space="0" w:color="000000"/>
              <w:bottom w:val="single" w:sz="5" w:space="0" w:color="000000"/>
              <w:right w:val="single" w:sz="5" w:space="0" w:color="000000"/>
            </w:tcBorders>
            <w:vAlign w:val="center"/>
          </w:tcPr>
          <w:p w14:paraId="7A4EB9D6" w14:textId="58B04375" w:rsidR="007E172C" w:rsidRPr="006E2E68" w:rsidRDefault="007E172C" w:rsidP="008A4FBA">
            <w:pPr>
              <w:jc w:val="center"/>
              <w:rPr>
                <w:rFonts w:ascii="Arial" w:hAnsi="Arial" w:cs="Arial"/>
                <w:sz w:val="18"/>
                <w:szCs w:val="18"/>
                <w:lang w:val="en-GB"/>
              </w:rPr>
            </w:pPr>
            <w:r>
              <w:rPr>
                <w:rFonts w:ascii="Arial" w:hAnsi="Arial" w:cs="Arial"/>
                <w:sz w:val="18"/>
                <w:szCs w:val="18"/>
              </w:rPr>
              <w:fldChar w:fldCharType="begin">
                <w:fldData xml:space="preserve">PEVuZE5vdGU+PENpdGUgQXV0aG9yWWVhcj0iMSI+PEF1dGhvcj5DaG91YWlkPC9BdXRob3I+PFll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</w:fldData>
              </w:fldChar>
            </w:r>
            <w:r w:rsidR="006F455C">
              <w:rPr>
                <w:rFonts w:ascii="Arial" w:hAnsi="Arial" w:cs="Arial"/>
                <w:sz w:val="18"/>
                <w:szCs w:val="18"/>
              </w:rPr>
              <w:instrText xml:space="preserve"> ADDIN EN.CITE </w:instrText>
            </w:r>
            <w:r w:rsidR="006F455C">
              <w:rPr>
                <w:rFonts w:ascii="Arial" w:hAnsi="Arial" w:cs="Arial"/>
                <w:sz w:val="18"/>
                <w:szCs w:val="18"/>
              </w:rPr>
              <w:fldChar w:fldCharType="begin">
                <w:fldData xml:space="preserve">PEVuZE5vdGU+PENpdGUgQXV0aG9yWWVhcj0iMSI+PEF1dGhvcj5DaG91YWlkPC9BdXRob3I+PFll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</w:fldData>
              </w:fldChar>
            </w:r>
            <w:r w:rsidR="006F455C">
              <w:rPr>
                <w:rFonts w:ascii="Arial" w:hAnsi="Arial" w:cs="Arial"/>
                <w:sz w:val="18"/>
                <w:szCs w:val="18"/>
              </w:rPr>
              <w:instrText xml:space="preserve"> ADDIN EN.CITE.DATA </w:instrText>
            </w:r>
            <w:r w:rsidR="006F455C">
              <w:rPr>
                <w:rFonts w:ascii="Arial" w:hAnsi="Arial" w:cs="Arial"/>
                <w:sz w:val="18"/>
                <w:szCs w:val="18"/>
              </w:rPr>
            </w:r>
            <w:r w:rsidR="006F455C">
              <w:rPr>
                <w:rFonts w:ascii="Arial" w:hAnsi="Arial" w:cs="Arial"/>
                <w:sz w:val="18"/>
                <w:szCs w:val="18"/>
              </w:rPr>
              <w:fldChar w:fldCharType="end"/>
            </w:r>
            <w:r>
              <w:rPr>
                <w:rFonts w:ascii="Arial" w:hAnsi="Arial" w:cs="Arial"/>
                <w:sz w:val="18"/>
                <w:szCs w:val="18"/>
              </w:rPr>
            </w:r>
            <w:r>
              <w:rPr>
                <w:rFonts w:ascii="Arial" w:hAnsi="Arial" w:cs="Arial"/>
                <w:sz w:val="18"/>
                <w:szCs w:val="18"/>
              </w:rPr>
              <w:fldChar w:fldCharType="separate"/>
            </w:r>
            <w:r w:rsidR="006F455C">
              <w:rPr>
                <w:rFonts w:ascii="Arial" w:hAnsi="Arial" w:cs="Arial"/>
                <w:noProof/>
                <w:sz w:val="18"/>
                <w:szCs w:val="18"/>
              </w:rPr>
              <w:t>Chouaid, Agulnik [5]</w:t>
            </w:r>
            <w:r>
              <w:rPr>
                <w:rFonts w:ascii="Arial" w:hAnsi="Arial" w:cs="Arial"/>
                <w:sz w:val="18"/>
                <w:szCs w:val="18"/>
              </w:rPr>
              <w:fldChar w:fldCharType="end"/>
            </w:r>
          </w:p>
        </w:tc>
      </w:tr>
    </w:tbl>
    <w:p w14:paraId="553EA8E8" w14:textId="77777777" w:rsidR="007E172C" w:rsidRPr="0008511F" w:rsidRDefault="007E172C" w:rsidP="007E172C">
      <w:pPr>
        <w:jc w:val="left"/>
      </w:pPr>
    </w:p>
    <w:p w14:paraId="5FE2AA3D" w14:textId="77777777" w:rsidR="007E172C" w:rsidRDefault="007E172C" w:rsidP="007E172C">
      <w:pPr>
        <w:pStyle w:val="Heading2"/>
        <w:rPr>
          <w:lang w:val="en-IE"/>
        </w:rPr>
      </w:pPr>
      <w:r>
        <w:rPr>
          <w:lang w:val="en-IE"/>
        </w:rPr>
        <w:t>Costs</w:t>
      </w:r>
    </w:p>
    <w:p w14:paraId="15A9DDD3" w14:textId="1E019D1A" w:rsidR="007E172C" w:rsidRPr="00D52EF5" w:rsidRDefault="007E172C" w:rsidP="007E172C">
      <w:pPr>
        <w:rPr>
          <w:lang w:val="en-IE"/>
        </w:rPr>
      </w:pPr>
      <w:r w:rsidRPr="00D52EF5">
        <w:rPr>
          <w:lang w:val="en-IE"/>
        </w:rPr>
        <w:t xml:space="preserve">The cost items included in the model </w:t>
      </w:r>
      <w:r>
        <w:rPr>
          <w:lang w:val="en-IE"/>
        </w:rPr>
        <w:t xml:space="preserve">reflected the most significant costs bared by the NHS and social care services in England. </w:t>
      </w:r>
      <w:r w:rsidRPr="00D52EF5">
        <w:rPr>
          <w:lang w:val="en-IE"/>
        </w:rPr>
        <w:t>These include</w:t>
      </w:r>
      <w:r>
        <w:rPr>
          <w:lang w:val="en-IE"/>
        </w:rPr>
        <w:t>d costs associated with pharmacological treatment, s</w:t>
      </w:r>
      <w:r w:rsidRPr="00D52EF5">
        <w:rPr>
          <w:lang w:val="en-IE"/>
        </w:rPr>
        <w:t>upportive care</w:t>
      </w:r>
      <w:r>
        <w:rPr>
          <w:lang w:val="en-IE"/>
        </w:rPr>
        <w:t>, healthcare professional time, and lab and procedure costs. All costs were inflated to reflect 2020 prices (</w:t>
      </w:r>
      <w:r>
        <w:rPr>
          <w:lang w:val="en-IE"/>
        </w:rPr>
        <w:fldChar w:fldCharType="begin"/>
      </w:r>
      <w:r>
        <w:rPr>
          <w:lang w:val="en-IE"/>
        </w:rPr>
        <w:instrText xml:space="preserve"> REF _Ref83816528 \h </w:instrText>
      </w:r>
      <w:r>
        <w:rPr>
          <w:lang w:val="en-IE"/>
        </w:rPr>
      </w:r>
      <w:r>
        <w:rPr>
          <w:lang w:val="en-IE"/>
        </w:rPr>
        <w:fldChar w:fldCharType="separate"/>
      </w:r>
      <w:r w:rsidR="00EB44B1">
        <w:t xml:space="preserve">Table </w:t>
      </w:r>
      <w:r w:rsidR="00EB44B1">
        <w:rPr>
          <w:noProof/>
        </w:rPr>
        <w:t>4</w:t>
      </w:r>
      <w:r>
        <w:rPr>
          <w:lang w:val="en-IE"/>
        </w:rPr>
        <w:fldChar w:fldCharType="end"/>
      </w:r>
      <w:r>
        <w:rPr>
          <w:lang w:val="en-IE"/>
        </w:rPr>
        <w:t>).</w:t>
      </w:r>
    </w:p>
    <w:p w14:paraId="30AF9E34" w14:textId="77777777" w:rsidR="007E172C" w:rsidRPr="0020652F" w:rsidRDefault="007E172C" w:rsidP="007E172C">
      <w:pPr>
        <w:rPr>
          <w:b/>
          <w:bCs/>
          <w:lang w:val="en-IE"/>
        </w:rPr>
      </w:pPr>
      <w:r>
        <w:rPr>
          <w:lang w:val="en-IE"/>
        </w:rPr>
        <w:t xml:space="preserve">Treatment costs were estimated by applying the unit costs of the two pharmacological agents to their dose as recommended by the treatment protocol. Because of the mode of treatment administration, the administration costs were assumed to be 0. </w:t>
      </w:r>
    </w:p>
    <w:p w14:paraId="5C54ED5B" w14:textId="0F4EDF0D" w:rsidR="007E172C" w:rsidRDefault="007E172C" w:rsidP="007E172C">
      <w:pPr>
        <w:rPr>
          <w:b/>
          <w:bCs/>
          <w:lang w:val="en-GB"/>
        </w:rPr>
      </w:pPr>
      <w:r w:rsidRPr="00351385">
        <w:rPr>
          <w:lang w:val="en-GB"/>
        </w:rPr>
        <w:t>Costs associated with the pre-progression state included healthcare provider’s visit costs (i</w:t>
      </w:r>
      <w:r>
        <w:rPr>
          <w:lang w:val="en-GB"/>
        </w:rPr>
        <w:t>.</w:t>
      </w:r>
      <w:r w:rsidRPr="00351385">
        <w:rPr>
          <w:lang w:val="en-GB"/>
        </w:rPr>
        <w:t>e., cancer nurse visits, outpatient visits, general practitioner [GP] visits), and laboratory test and procedure costs (</w:t>
      </w:r>
      <w:r w:rsidR="00EB44B1" w:rsidRPr="00351385">
        <w:rPr>
          <w:lang w:val="en-GB"/>
        </w:rPr>
        <w:t>i.e.</w:t>
      </w:r>
      <w:r w:rsidRPr="00351385">
        <w:rPr>
          <w:lang w:val="en-GB"/>
        </w:rPr>
        <w:t xml:space="preserve">, complete blood count, computerized tomography [CT] scan, X-ray, and serum chemistry). </w:t>
      </w:r>
      <w:r>
        <w:rPr>
          <w:lang w:val="en-GB"/>
        </w:rPr>
        <w:t xml:space="preserve"> </w:t>
      </w:r>
    </w:p>
    <w:p w14:paraId="4122AC4D" w14:textId="5FCFA5FA" w:rsidR="007E172C" w:rsidRPr="00EB44B1" w:rsidRDefault="007E172C" w:rsidP="007E172C">
      <w:r w:rsidRPr="00293B9D">
        <w:t>Costs</w:t>
      </w:r>
      <w:r w:rsidRPr="00293B9D">
        <w:rPr>
          <w:spacing w:val="-5"/>
        </w:rPr>
        <w:t xml:space="preserve"> </w:t>
      </w:r>
      <w:r w:rsidRPr="00293B9D">
        <w:t>associated</w:t>
      </w:r>
      <w:r w:rsidRPr="00293B9D">
        <w:rPr>
          <w:spacing w:val="-10"/>
        </w:rPr>
        <w:t xml:space="preserve"> </w:t>
      </w:r>
      <w:r w:rsidRPr="00293B9D">
        <w:t>with p</w:t>
      </w:r>
      <w:r w:rsidRPr="00293B9D">
        <w:rPr>
          <w:spacing w:val="1"/>
        </w:rPr>
        <w:t>os</w:t>
      </w:r>
      <w:r w:rsidRPr="00293B9D">
        <w:t>t-progression</w:t>
      </w:r>
      <w:r w:rsidRPr="00293B9D">
        <w:rPr>
          <w:spacing w:val="-16"/>
        </w:rPr>
        <w:t xml:space="preserve"> </w:t>
      </w:r>
      <w:r w:rsidRPr="00293B9D">
        <w:t>state incl</w:t>
      </w:r>
      <w:r w:rsidRPr="00293B9D">
        <w:rPr>
          <w:spacing w:val="-2"/>
        </w:rPr>
        <w:t>u</w:t>
      </w:r>
      <w:r w:rsidRPr="00293B9D">
        <w:t>ded</w:t>
      </w:r>
      <w:r w:rsidRPr="00293B9D">
        <w:rPr>
          <w:spacing w:val="-8"/>
        </w:rPr>
        <w:t xml:space="preserve"> </w:t>
      </w:r>
      <w:r w:rsidRPr="00293B9D">
        <w:t>h</w:t>
      </w:r>
      <w:r w:rsidRPr="00293B9D">
        <w:rPr>
          <w:spacing w:val="1"/>
        </w:rPr>
        <w:t>e</w:t>
      </w:r>
      <w:r w:rsidRPr="00293B9D">
        <w:t>althca</w:t>
      </w:r>
      <w:r w:rsidRPr="00293B9D">
        <w:rPr>
          <w:spacing w:val="1"/>
        </w:rPr>
        <w:t>r</w:t>
      </w:r>
      <w:r w:rsidRPr="00293B9D">
        <w:t>e</w:t>
      </w:r>
      <w:r w:rsidRPr="00293B9D">
        <w:rPr>
          <w:spacing w:val="-10"/>
        </w:rPr>
        <w:t xml:space="preserve"> </w:t>
      </w:r>
      <w:r w:rsidRPr="00293B9D">
        <w:t>pr</w:t>
      </w:r>
      <w:r w:rsidRPr="00EB44B1">
        <w:t>ov</w:t>
      </w:r>
      <w:r w:rsidRPr="00293B9D">
        <w:t>ider’s</w:t>
      </w:r>
      <w:r w:rsidRPr="00EB44B1">
        <w:t xml:space="preserve"> </w:t>
      </w:r>
      <w:r w:rsidRPr="00293B9D">
        <w:t>visit costs (i</w:t>
      </w:r>
      <w:r>
        <w:t>.</w:t>
      </w:r>
      <w:r w:rsidRPr="00293B9D">
        <w:t xml:space="preserve">e., </w:t>
      </w:r>
      <w:r w:rsidRPr="00EB44B1">
        <w:t>cancer</w:t>
      </w:r>
      <w:r w:rsidRPr="00293B9D">
        <w:t xml:space="preserve"> nurse</w:t>
      </w:r>
      <w:r w:rsidRPr="00EB44B1">
        <w:t xml:space="preserve"> </w:t>
      </w:r>
      <w:r w:rsidRPr="00293B9D">
        <w:t xml:space="preserve">visits, outpatient </w:t>
      </w:r>
      <w:r w:rsidRPr="00EB44B1">
        <w:t>v</w:t>
      </w:r>
      <w:r w:rsidRPr="00293B9D">
        <w:t>isits,</w:t>
      </w:r>
      <w:r w:rsidRPr="00EB44B1">
        <w:t xml:space="preserve"> </w:t>
      </w:r>
      <w:r w:rsidRPr="00293B9D">
        <w:t>and</w:t>
      </w:r>
      <w:r w:rsidRPr="00EB44B1">
        <w:t xml:space="preserve"> </w:t>
      </w:r>
      <w:r w:rsidRPr="00293B9D">
        <w:t>GP visits), medica</w:t>
      </w:r>
      <w:r w:rsidRPr="00EB44B1">
        <w:t>t</w:t>
      </w:r>
      <w:r w:rsidRPr="00293B9D">
        <w:t>ions</w:t>
      </w:r>
      <w:r w:rsidRPr="00EB44B1">
        <w:t xml:space="preserve"> </w:t>
      </w:r>
      <w:r w:rsidRPr="00293B9D">
        <w:t>(i.e., steroid</w:t>
      </w:r>
      <w:r w:rsidRPr="00EB44B1">
        <w:t>s</w:t>
      </w:r>
      <w:r w:rsidRPr="00293B9D">
        <w:t>,</w:t>
      </w:r>
      <w:r w:rsidRPr="00EB44B1">
        <w:t xml:space="preserve"> </w:t>
      </w:r>
      <w:r w:rsidRPr="00293B9D">
        <w:t>nonsteroid</w:t>
      </w:r>
      <w:r w:rsidRPr="00EB44B1">
        <w:t>a</w:t>
      </w:r>
      <w:r w:rsidRPr="00293B9D">
        <w:t>l</w:t>
      </w:r>
      <w:r w:rsidRPr="00EB44B1">
        <w:t xml:space="preserve"> </w:t>
      </w:r>
      <w:r w:rsidRPr="00293B9D">
        <w:t>anti- inflammatory</w:t>
      </w:r>
      <w:r w:rsidRPr="00EB44B1">
        <w:t xml:space="preserve"> </w:t>
      </w:r>
      <w:r w:rsidRPr="00293B9D">
        <w:t>drugs</w:t>
      </w:r>
      <w:r w:rsidRPr="00EB44B1">
        <w:t xml:space="preserve"> </w:t>
      </w:r>
      <w:r w:rsidRPr="00293B9D">
        <w:t>(NSAIDs), morphi</w:t>
      </w:r>
      <w:r w:rsidRPr="00EB44B1">
        <w:t>n</w:t>
      </w:r>
      <w:r w:rsidRPr="00293B9D">
        <w:t>e,</w:t>
      </w:r>
      <w:r w:rsidRPr="00EB44B1">
        <w:t xml:space="preserve"> </w:t>
      </w:r>
      <w:r w:rsidRPr="00293B9D">
        <w:t>bisphosphonate,</w:t>
      </w:r>
      <w:r w:rsidRPr="00EB44B1">
        <w:t xml:space="preserve"> </w:t>
      </w:r>
      <w:r w:rsidRPr="00293B9D">
        <w:t>and</w:t>
      </w:r>
      <w:r w:rsidRPr="00EB44B1">
        <w:t xml:space="preserve"> </w:t>
      </w:r>
      <w:r w:rsidRPr="00293B9D">
        <w:t>d</w:t>
      </w:r>
      <w:r w:rsidRPr="00EB44B1">
        <w:t>i</w:t>
      </w:r>
      <w:r w:rsidRPr="00293B9D">
        <w:t>e</w:t>
      </w:r>
      <w:r w:rsidRPr="00EB44B1">
        <w:t>t</w:t>
      </w:r>
      <w:r w:rsidRPr="00293B9D">
        <w:t>ary</w:t>
      </w:r>
      <w:r w:rsidRPr="00EB44B1">
        <w:t xml:space="preserve"> </w:t>
      </w:r>
      <w:r w:rsidRPr="00293B9D">
        <w:t>suppl</w:t>
      </w:r>
      <w:r w:rsidRPr="00EB44B1">
        <w:t>e</w:t>
      </w:r>
      <w:r w:rsidRPr="00293B9D">
        <w:t>ments),</w:t>
      </w:r>
      <w:r w:rsidRPr="00EB44B1">
        <w:t xml:space="preserve"> </w:t>
      </w:r>
      <w:r w:rsidRPr="00293B9D">
        <w:t>and laborat</w:t>
      </w:r>
      <w:r w:rsidRPr="00EB44B1">
        <w:t>o</w:t>
      </w:r>
      <w:r w:rsidRPr="00293B9D">
        <w:t>ry</w:t>
      </w:r>
      <w:r w:rsidRPr="00EB44B1">
        <w:t xml:space="preserve"> </w:t>
      </w:r>
      <w:r w:rsidRPr="00293B9D">
        <w:t>t</w:t>
      </w:r>
      <w:r w:rsidRPr="00EB44B1">
        <w:t>e</w:t>
      </w:r>
      <w:r w:rsidRPr="00293B9D">
        <w:t>sts and</w:t>
      </w:r>
      <w:r w:rsidRPr="00EB44B1">
        <w:t xml:space="preserve"> </w:t>
      </w:r>
      <w:r w:rsidRPr="00293B9D">
        <w:t>procedu</w:t>
      </w:r>
      <w:r w:rsidRPr="00EB44B1">
        <w:t>r</w:t>
      </w:r>
      <w:r w:rsidRPr="00293B9D">
        <w:t>e</w:t>
      </w:r>
      <w:r w:rsidRPr="00EB44B1">
        <w:t xml:space="preserve"> </w:t>
      </w:r>
      <w:r w:rsidRPr="00293B9D">
        <w:t>c</w:t>
      </w:r>
      <w:r w:rsidRPr="00EB44B1">
        <w:t>o</w:t>
      </w:r>
      <w:r w:rsidRPr="00293B9D">
        <w:t>sts</w:t>
      </w:r>
      <w:r w:rsidRPr="00EB44B1">
        <w:t xml:space="preserve"> </w:t>
      </w:r>
      <w:r w:rsidRPr="00293B9D">
        <w:t>(i.e., complete</w:t>
      </w:r>
      <w:r w:rsidRPr="00EB44B1">
        <w:t xml:space="preserve"> </w:t>
      </w:r>
      <w:r w:rsidRPr="00293B9D">
        <w:t>blood</w:t>
      </w:r>
      <w:r w:rsidRPr="00EB44B1">
        <w:t xml:space="preserve"> </w:t>
      </w:r>
      <w:r w:rsidRPr="00293B9D">
        <w:t>cou</w:t>
      </w:r>
      <w:r w:rsidRPr="00EB44B1">
        <w:t>n</w:t>
      </w:r>
      <w:r w:rsidRPr="00293B9D">
        <w:t>t,</w:t>
      </w:r>
      <w:r w:rsidRPr="00EB44B1">
        <w:t xml:space="preserve"> </w:t>
      </w:r>
      <w:r w:rsidRPr="00293B9D">
        <w:t>serum</w:t>
      </w:r>
      <w:r w:rsidRPr="00EB44B1">
        <w:t xml:space="preserve"> </w:t>
      </w:r>
      <w:r w:rsidRPr="00293B9D">
        <w:t>chemistry, CT scan, home</w:t>
      </w:r>
      <w:r w:rsidRPr="00EB44B1">
        <w:t xml:space="preserve"> </w:t>
      </w:r>
      <w:r w:rsidRPr="00293B9D">
        <w:t>oxygen,</w:t>
      </w:r>
      <w:r w:rsidRPr="00EB44B1">
        <w:t xml:space="preserve"> </w:t>
      </w:r>
      <w:r w:rsidRPr="00293B9D">
        <w:t>and</w:t>
      </w:r>
      <w:r w:rsidRPr="00EB44B1">
        <w:t xml:space="preserve"> </w:t>
      </w:r>
      <w:r w:rsidRPr="00293B9D">
        <w:t>X-ray).</w:t>
      </w:r>
      <w:r>
        <w:t xml:space="preserve"> </w:t>
      </w:r>
    </w:p>
    <w:p w14:paraId="6A38E38E" w14:textId="06491743" w:rsidR="007E172C" w:rsidRPr="00DE02B4" w:rsidRDefault="007E172C" w:rsidP="007E172C">
      <w:pPr>
        <w:pStyle w:val="Caption"/>
      </w:pPr>
      <w:bookmarkStart w:id="6" w:name="_Ref83816528"/>
      <w:r>
        <w:t xml:space="preserve">Table </w:t>
      </w:r>
      <w:r>
        <w:fldChar w:fldCharType="begin"/>
      </w:r>
      <w:r>
        <w:instrText>SEQ Table \* ARABIC</w:instrText>
      </w:r>
      <w:r>
        <w:fldChar w:fldCharType="separate"/>
      </w:r>
      <w:r w:rsidR="00EB44B1">
        <w:rPr>
          <w:noProof/>
        </w:rPr>
        <w:t>4</w:t>
      </w:r>
      <w:r>
        <w:fldChar w:fldCharType="end"/>
      </w:r>
      <w:bookmarkEnd w:id="6"/>
      <w:r>
        <w:rPr>
          <w:noProof/>
        </w:rPr>
        <w:t xml:space="preserve">. </w:t>
      </w:r>
      <w:r w:rsidRPr="00632A4E">
        <w:rPr>
          <w:lang w:val="en-GB"/>
        </w:rPr>
        <w:t xml:space="preserve">Summary of </w:t>
      </w:r>
      <w:r>
        <w:rPr>
          <w:lang w:val="en-GB"/>
        </w:rPr>
        <w:t xml:space="preserve">cost </w:t>
      </w:r>
      <w:r w:rsidRPr="00632A4E">
        <w:rPr>
          <w:lang w:val="en-GB"/>
        </w:rPr>
        <w:t xml:space="preserve">values used </w:t>
      </w:r>
      <w:r>
        <w:rPr>
          <w:lang w:val="en-GB"/>
        </w:rPr>
        <w:t>in the CEM</w:t>
      </w:r>
    </w:p>
    <w:tbl>
      <w:tblPr>
        <w:tblW w:w="5892" w:type="dxa"/>
        <w:tblInd w:w="-6" w:type="dxa"/>
        <w:tblLayout w:type="fixed"/>
        <w:tblCellMar>
          <w:left w:w="0" w:type="dxa"/>
          <w:right w:w="0" w:type="dxa"/>
        </w:tblCellMar>
        <w:tblLook w:val="01E0" w:firstRow="1" w:lastRow="1" w:firstColumn="1" w:lastColumn="1" w:noHBand="0" w:noVBand="0"/>
      </w:tblPr>
      <w:tblGrid>
        <w:gridCol w:w="3681"/>
        <w:gridCol w:w="2211"/>
      </w:tblGrid>
      <w:tr w:rsidR="007E172C" w:rsidRPr="00D539D9" w14:paraId="6839C7F5" w14:textId="77777777" w:rsidTr="00EB44B1">
        <w:trPr>
          <w:trHeight w:hRule="exact" w:val="670"/>
        </w:trPr>
        <w:tc>
          <w:tcPr>
            <w:tcW w:w="3681" w:type="dxa"/>
            <w:tcBorders>
              <w:top w:val="single" w:sz="5" w:space="0" w:color="000000"/>
              <w:left w:val="single" w:sz="5" w:space="0" w:color="000000"/>
              <w:bottom w:val="single" w:sz="5" w:space="0" w:color="000000"/>
              <w:right w:val="single" w:sz="5" w:space="0" w:color="000000"/>
            </w:tcBorders>
            <w:vAlign w:val="center"/>
          </w:tcPr>
          <w:p w14:paraId="237EB9C5" w14:textId="77777777" w:rsidR="007E172C" w:rsidRPr="00D539D9" w:rsidRDefault="007E172C" w:rsidP="008A4FBA">
            <w:pPr>
              <w:spacing w:before="16"/>
              <w:ind w:left="120" w:right="-56"/>
              <w:rPr>
                <w:rFonts w:ascii="Arial" w:hAnsi="Arial" w:cs="Arial"/>
                <w:b/>
                <w:sz w:val="18"/>
                <w:szCs w:val="18"/>
              </w:rPr>
            </w:pPr>
            <w:r>
              <w:rPr>
                <w:rFonts w:ascii="Arial" w:hAnsi="Arial" w:cs="Arial"/>
                <w:b/>
                <w:sz w:val="18"/>
                <w:szCs w:val="18"/>
              </w:rPr>
              <w:t>Costs</w:t>
            </w:r>
          </w:p>
        </w:tc>
        <w:tc>
          <w:tcPr>
            <w:tcW w:w="2211" w:type="dxa"/>
            <w:tcBorders>
              <w:top w:val="single" w:sz="5" w:space="0" w:color="000000"/>
              <w:left w:val="single" w:sz="5" w:space="0" w:color="000000"/>
              <w:bottom w:val="single" w:sz="5" w:space="0" w:color="000000"/>
              <w:right w:val="single" w:sz="5" w:space="0" w:color="000000"/>
            </w:tcBorders>
            <w:vAlign w:val="center"/>
          </w:tcPr>
          <w:p w14:paraId="4FA985B8" w14:textId="77777777" w:rsidR="007E172C" w:rsidRDefault="007E172C" w:rsidP="008A4FBA">
            <w:pPr>
              <w:spacing w:before="16"/>
              <w:ind w:left="120" w:right="-56"/>
              <w:jc w:val="center"/>
              <w:rPr>
                <w:rFonts w:ascii="Arial" w:eastAsia="Arial" w:hAnsi="Arial" w:cs="Arial"/>
                <w:b/>
                <w:sz w:val="18"/>
                <w:szCs w:val="18"/>
              </w:rPr>
            </w:pPr>
            <w:r>
              <w:rPr>
                <w:rFonts w:ascii="Arial" w:eastAsia="Arial" w:hAnsi="Arial" w:cs="Arial"/>
                <w:b/>
                <w:sz w:val="18"/>
                <w:szCs w:val="18"/>
              </w:rPr>
              <w:t xml:space="preserve">Cost </w:t>
            </w:r>
          </w:p>
          <w:p w14:paraId="357BC4CD" w14:textId="77777777" w:rsidR="007E172C" w:rsidRPr="00D539D9" w:rsidRDefault="007E172C" w:rsidP="008A4FBA">
            <w:pPr>
              <w:spacing w:before="16"/>
              <w:ind w:left="120" w:right="-56"/>
              <w:jc w:val="center"/>
              <w:rPr>
                <w:rFonts w:ascii="Arial" w:hAnsi="Arial" w:cs="Arial"/>
                <w:b/>
                <w:sz w:val="18"/>
                <w:szCs w:val="18"/>
              </w:rPr>
            </w:pPr>
            <w:r w:rsidRPr="00D539D9">
              <w:rPr>
                <w:rFonts w:ascii="Arial" w:eastAsia="Arial" w:hAnsi="Arial" w:cs="Arial"/>
                <w:b/>
                <w:sz w:val="18"/>
                <w:szCs w:val="18"/>
              </w:rPr>
              <w:t>Mean</w:t>
            </w:r>
            <w:r>
              <w:rPr>
                <w:rFonts w:ascii="Arial" w:eastAsia="Arial" w:hAnsi="Arial" w:cs="Arial"/>
                <w:b/>
                <w:sz w:val="18"/>
                <w:szCs w:val="18"/>
              </w:rPr>
              <w:t xml:space="preserve"> </w:t>
            </w:r>
          </w:p>
        </w:tc>
      </w:tr>
      <w:tr w:rsidR="007E172C" w:rsidRPr="00D539D9" w14:paraId="7EBB7F9F" w14:textId="77777777" w:rsidTr="00EB44B1">
        <w:trPr>
          <w:trHeight w:hRule="exact" w:val="487"/>
        </w:trPr>
        <w:tc>
          <w:tcPr>
            <w:tcW w:w="3681" w:type="dxa"/>
            <w:tcBorders>
              <w:top w:val="single" w:sz="5" w:space="0" w:color="000000"/>
              <w:left w:val="single" w:sz="5" w:space="0" w:color="000000"/>
              <w:bottom w:val="single" w:sz="5" w:space="0" w:color="000000"/>
              <w:right w:val="single" w:sz="5" w:space="0" w:color="000000"/>
            </w:tcBorders>
            <w:vAlign w:val="center"/>
          </w:tcPr>
          <w:p w14:paraId="0BB8F9E5" w14:textId="77777777" w:rsidR="007E172C" w:rsidRPr="00D539D9" w:rsidRDefault="007E172C" w:rsidP="008A4FBA">
            <w:pPr>
              <w:spacing w:before="3" w:line="240" w:lineRule="exact"/>
              <w:ind w:left="102" w:right="227"/>
              <w:jc w:val="left"/>
              <w:rPr>
                <w:rFonts w:ascii="Arial" w:eastAsia="Arial" w:hAnsi="Arial" w:cs="Arial"/>
                <w:sz w:val="18"/>
                <w:szCs w:val="18"/>
              </w:rPr>
            </w:pPr>
            <w:r>
              <w:rPr>
                <w:rFonts w:ascii="Arial" w:eastAsia="Arial" w:hAnsi="Arial" w:cs="Arial"/>
                <w:sz w:val="18"/>
                <w:szCs w:val="18"/>
              </w:rPr>
              <w:t>Intervention treatment cost (monthly)</w:t>
            </w:r>
          </w:p>
        </w:tc>
        <w:tc>
          <w:tcPr>
            <w:tcW w:w="2211" w:type="dxa"/>
            <w:tcBorders>
              <w:top w:val="single" w:sz="5" w:space="0" w:color="000000"/>
              <w:left w:val="single" w:sz="5" w:space="0" w:color="000000"/>
              <w:bottom w:val="single" w:sz="5" w:space="0" w:color="000000"/>
              <w:right w:val="single" w:sz="5" w:space="0" w:color="000000"/>
            </w:tcBorders>
            <w:vAlign w:val="center"/>
          </w:tcPr>
          <w:p w14:paraId="52576B48" w14:textId="3C1F40C3" w:rsidR="007E172C" w:rsidRPr="00B23127" w:rsidRDefault="007E172C" w:rsidP="008A4FBA">
            <w:pPr>
              <w:jc w:val="center"/>
              <w:rPr>
                <w:rFonts w:ascii="Arial" w:hAnsi="Arial" w:cs="Arial"/>
                <w:sz w:val="18"/>
                <w:szCs w:val="18"/>
              </w:rPr>
            </w:pPr>
            <w:r w:rsidRPr="00EB44B1">
              <w:rPr>
                <w:lang w:val="en-IE"/>
              </w:rPr>
              <w:t>£3,418</w:t>
            </w:r>
          </w:p>
        </w:tc>
      </w:tr>
      <w:tr w:rsidR="003E020E" w:rsidRPr="00D539D9" w14:paraId="560883D9" w14:textId="77777777" w:rsidTr="00EB44B1">
        <w:trPr>
          <w:trHeight w:hRule="exact" w:val="487"/>
        </w:trPr>
        <w:tc>
          <w:tcPr>
            <w:tcW w:w="3681" w:type="dxa"/>
            <w:tcBorders>
              <w:top w:val="single" w:sz="5" w:space="0" w:color="000000"/>
              <w:left w:val="single" w:sz="5" w:space="0" w:color="000000"/>
              <w:bottom w:val="single" w:sz="5" w:space="0" w:color="000000"/>
              <w:right w:val="single" w:sz="5" w:space="0" w:color="000000"/>
            </w:tcBorders>
            <w:vAlign w:val="center"/>
          </w:tcPr>
          <w:p w14:paraId="57A2D866" w14:textId="2B657550" w:rsidR="003E020E" w:rsidRDefault="003E020E" w:rsidP="008A4FBA">
            <w:pPr>
              <w:spacing w:before="3" w:line="240" w:lineRule="exact"/>
              <w:ind w:left="102" w:right="227"/>
              <w:jc w:val="left"/>
              <w:rPr>
                <w:rFonts w:ascii="Arial" w:eastAsia="Arial" w:hAnsi="Arial" w:cs="Arial"/>
                <w:sz w:val="18"/>
                <w:szCs w:val="18"/>
              </w:rPr>
            </w:pPr>
            <w:r>
              <w:rPr>
                <w:rFonts w:ascii="Arial" w:eastAsia="Arial" w:hAnsi="Arial" w:cs="Arial"/>
                <w:sz w:val="18"/>
                <w:szCs w:val="18"/>
              </w:rPr>
              <w:t xml:space="preserve">Comparator treatment cost (monthly) </w:t>
            </w:r>
          </w:p>
        </w:tc>
        <w:tc>
          <w:tcPr>
            <w:tcW w:w="2211" w:type="dxa"/>
            <w:tcBorders>
              <w:top w:val="single" w:sz="5" w:space="0" w:color="000000"/>
              <w:left w:val="single" w:sz="5" w:space="0" w:color="000000"/>
              <w:bottom w:val="single" w:sz="5" w:space="0" w:color="000000"/>
              <w:right w:val="single" w:sz="5" w:space="0" w:color="000000"/>
            </w:tcBorders>
            <w:vAlign w:val="center"/>
          </w:tcPr>
          <w:p w14:paraId="1D54B74B" w14:textId="5FD9E851" w:rsidR="003E020E" w:rsidRPr="00EB44B1" w:rsidRDefault="001D3B06" w:rsidP="008A4FBA">
            <w:pPr>
              <w:jc w:val="center"/>
              <w:rPr>
                <w:lang w:val="en-IE"/>
              </w:rPr>
            </w:pPr>
            <w:r w:rsidRPr="00EB44B1">
              <w:rPr>
                <w:lang w:val="en-IE"/>
              </w:rPr>
              <w:t>£3,418</w:t>
            </w:r>
          </w:p>
        </w:tc>
      </w:tr>
      <w:tr w:rsidR="007E172C" w:rsidRPr="00D539D9" w14:paraId="25F3C967" w14:textId="77777777" w:rsidTr="00EB44B1">
        <w:trPr>
          <w:trHeight w:hRule="exact" w:val="657"/>
        </w:trPr>
        <w:tc>
          <w:tcPr>
            <w:tcW w:w="3681" w:type="dxa"/>
            <w:tcBorders>
              <w:top w:val="single" w:sz="5" w:space="0" w:color="000000"/>
              <w:left w:val="single" w:sz="5" w:space="0" w:color="000000"/>
              <w:bottom w:val="single" w:sz="5" w:space="0" w:color="000000"/>
              <w:right w:val="single" w:sz="5" w:space="0" w:color="000000"/>
            </w:tcBorders>
            <w:vAlign w:val="center"/>
          </w:tcPr>
          <w:p w14:paraId="7A1BE820" w14:textId="77777777" w:rsidR="007E172C" w:rsidRPr="00D539D9" w:rsidRDefault="007E172C" w:rsidP="008A4FBA">
            <w:pPr>
              <w:spacing w:before="3" w:line="240" w:lineRule="exact"/>
              <w:ind w:left="102" w:right="227"/>
              <w:jc w:val="left"/>
              <w:rPr>
                <w:rFonts w:ascii="Arial" w:eastAsia="Arial" w:hAnsi="Arial" w:cs="Arial"/>
                <w:sz w:val="18"/>
                <w:szCs w:val="18"/>
              </w:rPr>
            </w:pPr>
            <w:r>
              <w:rPr>
                <w:rFonts w:ascii="Arial" w:eastAsia="Arial" w:hAnsi="Arial" w:cs="Arial"/>
                <w:sz w:val="18"/>
                <w:szCs w:val="18"/>
              </w:rPr>
              <w:t xml:space="preserve">Pre-progression </w:t>
            </w:r>
          </w:p>
        </w:tc>
        <w:tc>
          <w:tcPr>
            <w:tcW w:w="2211" w:type="dxa"/>
            <w:tcBorders>
              <w:top w:val="single" w:sz="5" w:space="0" w:color="000000"/>
              <w:left w:val="single" w:sz="5" w:space="0" w:color="000000"/>
              <w:bottom w:val="single" w:sz="5" w:space="0" w:color="000000"/>
              <w:right w:val="single" w:sz="5" w:space="0" w:color="000000"/>
            </w:tcBorders>
            <w:vAlign w:val="center"/>
          </w:tcPr>
          <w:p w14:paraId="1BA50D16" w14:textId="77777777" w:rsidR="007E172C" w:rsidRPr="00B23127" w:rsidRDefault="007E172C" w:rsidP="008A4FBA">
            <w:pPr>
              <w:jc w:val="center"/>
              <w:rPr>
                <w:rFonts w:ascii="Arial" w:hAnsi="Arial" w:cs="Arial"/>
                <w:sz w:val="18"/>
                <w:szCs w:val="18"/>
              </w:rPr>
            </w:pPr>
            <w:r w:rsidRPr="00EB44B1">
              <w:rPr>
                <w:lang w:val="en-IE"/>
              </w:rPr>
              <w:t>£198</w:t>
            </w:r>
          </w:p>
        </w:tc>
      </w:tr>
      <w:tr w:rsidR="007E172C" w:rsidRPr="00D539D9" w14:paraId="105463C6" w14:textId="77777777" w:rsidTr="00EB44B1">
        <w:trPr>
          <w:trHeight w:hRule="exact" w:val="485"/>
        </w:trPr>
        <w:tc>
          <w:tcPr>
            <w:tcW w:w="3681" w:type="dxa"/>
            <w:tcBorders>
              <w:top w:val="single" w:sz="5" w:space="0" w:color="000000"/>
              <w:left w:val="single" w:sz="5" w:space="0" w:color="000000"/>
              <w:bottom w:val="single" w:sz="5" w:space="0" w:color="000000"/>
              <w:right w:val="single" w:sz="5" w:space="0" w:color="000000"/>
            </w:tcBorders>
            <w:vAlign w:val="center"/>
          </w:tcPr>
          <w:p w14:paraId="1482480A" w14:textId="77777777" w:rsidR="007E172C" w:rsidRPr="00D539D9" w:rsidRDefault="007E172C" w:rsidP="008A4FBA">
            <w:pPr>
              <w:spacing w:before="3" w:line="240" w:lineRule="exact"/>
              <w:ind w:left="102" w:right="227"/>
              <w:jc w:val="left"/>
              <w:rPr>
                <w:rFonts w:ascii="Arial" w:eastAsia="Arial" w:hAnsi="Arial" w:cs="Arial"/>
                <w:sz w:val="18"/>
                <w:szCs w:val="18"/>
              </w:rPr>
            </w:pPr>
            <w:r>
              <w:rPr>
                <w:rFonts w:ascii="Arial" w:eastAsia="Arial" w:hAnsi="Arial" w:cs="Arial"/>
                <w:sz w:val="18"/>
                <w:szCs w:val="18"/>
              </w:rPr>
              <w:t>Progressed disease</w:t>
            </w:r>
          </w:p>
        </w:tc>
        <w:tc>
          <w:tcPr>
            <w:tcW w:w="2211" w:type="dxa"/>
            <w:tcBorders>
              <w:top w:val="single" w:sz="5" w:space="0" w:color="000000"/>
              <w:left w:val="single" w:sz="5" w:space="0" w:color="000000"/>
              <w:bottom w:val="single" w:sz="5" w:space="0" w:color="000000"/>
              <w:right w:val="single" w:sz="5" w:space="0" w:color="000000"/>
            </w:tcBorders>
            <w:vAlign w:val="center"/>
          </w:tcPr>
          <w:p w14:paraId="65127661" w14:textId="77777777" w:rsidR="007E172C" w:rsidRPr="00EB44B1" w:rsidRDefault="007E172C" w:rsidP="008A4FBA">
            <w:pPr>
              <w:ind w:left="102"/>
              <w:jc w:val="center"/>
              <w:rPr>
                <w:rFonts w:ascii="Arial" w:eastAsia="Arial" w:hAnsi="Arial" w:cs="Arial"/>
                <w:sz w:val="18"/>
                <w:szCs w:val="18"/>
              </w:rPr>
            </w:pPr>
            <w:r w:rsidRPr="00EB44B1">
              <w:rPr>
                <w:rFonts w:ascii="Arial" w:eastAsia="Arial" w:hAnsi="Arial" w:cs="Arial"/>
                <w:sz w:val="18"/>
                <w:szCs w:val="18"/>
              </w:rPr>
              <w:t>£343</w:t>
            </w:r>
          </w:p>
        </w:tc>
      </w:tr>
    </w:tbl>
    <w:p w14:paraId="10845210" w14:textId="77777777" w:rsidR="007E172C" w:rsidRDefault="007E172C" w:rsidP="007E172C">
      <w:pPr>
        <w:rPr>
          <w:lang w:val="en-GB"/>
        </w:rPr>
      </w:pPr>
    </w:p>
    <w:p w14:paraId="3F4CECF4" w14:textId="77777777" w:rsidR="007E172C" w:rsidRPr="00EB44B1" w:rsidRDefault="007E172C" w:rsidP="00EB44B1">
      <w:pPr>
        <w:pStyle w:val="Heading2"/>
        <w:rPr>
          <w:lang w:val="en-IE"/>
        </w:rPr>
      </w:pPr>
      <w:r>
        <w:rPr>
          <w:lang w:val="en-IE"/>
        </w:rPr>
        <w:lastRenderedPageBreak/>
        <w:t>S</w:t>
      </w:r>
      <w:r w:rsidRPr="00EB44B1">
        <w:rPr>
          <w:lang w:val="en-IE"/>
        </w:rPr>
        <w:t>ensitivity analys</w:t>
      </w:r>
      <w:r>
        <w:rPr>
          <w:lang w:val="en-IE"/>
        </w:rPr>
        <w:t>es</w:t>
      </w:r>
    </w:p>
    <w:p w14:paraId="052B2EE0" w14:textId="77777777" w:rsidR="007E172C" w:rsidRPr="00EB44B1" w:rsidRDefault="007E172C" w:rsidP="007E172C">
      <w:pPr>
        <w:rPr>
          <w:lang w:val="en-GB"/>
        </w:rPr>
      </w:pPr>
      <w:r>
        <w:rPr>
          <w:lang w:val="en-GB"/>
        </w:rPr>
        <w:t xml:space="preserve">To study the impact of different levels of unmeasured confounding on the uncertainty around the model outputs in isolation, only uncertainty around the baseline PFS, OS, and effectiveness parameters was explored in the CEM. </w:t>
      </w:r>
    </w:p>
    <w:p w14:paraId="64B1FFDE" w14:textId="4E879C31" w:rsidR="007E172C" w:rsidRPr="00EB44B1" w:rsidRDefault="007E172C" w:rsidP="007E172C">
      <w:pPr>
        <w:rPr>
          <w:lang w:val="en-GB"/>
        </w:rPr>
      </w:pPr>
      <w:r w:rsidRPr="00EB44B1">
        <w:rPr>
          <w:lang w:val="en-GB"/>
        </w:rPr>
        <w:t xml:space="preserve">A univariate sensitivity analysis was conducted to </w:t>
      </w:r>
      <w:r>
        <w:rPr>
          <w:lang w:val="en-GB"/>
        </w:rPr>
        <w:t>explore the impact on the outputs by applying the low and upper limit of each HR (</w:t>
      </w:r>
      <w:r>
        <w:t xml:space="preserve">Table </w:t>
      </w:r>
      <w:r w:rsidR="00EB44B1">
        <w:t>2</w:t>
      </w:r>
      <w:r>
        <w:t>), while other parameters remained constant.</w:t>
      </w:r>
      <w:r>
        <w:rPr>
          <w:lang w:val="en-GB"/>
        </w:rPr>
        <w:t xml:space="preserve"> The lower </w:t>
      </w:r>
      <w:r w:rsidRPr="00EB44B1">
        <w:rPr>
          <w:lang w:val="en-GB"/>
        </w:rPr>
        <w:t xml:space="preserve">and </w:t>
      </w:r>
      <w:r>
        <w:rPr>
          <w:lang w:val="en-GB"/>
        </w:rPr>
        <w:t xml:space="preserve">upper </w:t>
      </w:r>
      <w:r w:rsidRPr="00EB44B1">
        <w:rPr>
          <w:lang w:val="en-GB"/>
        </w:rPr>
        <w:t>values of</w:t>
      </w:r>
      <w:r>
        <w:rPr>
          <w:lang w:val="en-GB"/>
        </w:rPr>
        <w:t xml:space="preserve"> HR parameters</w:t>
      </w:r>
      <w:r w:rsidRPr="00EB44B1">
        <w:rPr>
          <w:lang w:val="en-GB"/>
        </w:rPr>
        <w:t xml:space="preserve"> was determined by </w:t>
      </w:r>
      <w:r>
        <w:rPr>
          <w:lang w:val="en-GB"/>
        </w:rPr>
        <w:t>the corresponding</w:t>
      </w:r>
      <w:r w:rsidRPr="00EB44B1">
        <w:rPr>
          <w:lang w:val="en-GB"/>
        </w:rPr>
        <w:t xml:space="preserve"> 95% CI</w:t>
      </w:r>
      <w:r>
        <w:rPr>
          <w:lang w:val="en-GB"/>
        </w:rPr>
        <w:t xml:space="preserve"> of each HR. For the Huang and Ding methods, due to the multiple number of HRs produced under various assumptions, the lower 95% CI of the lowest mean HR, and the upper 95% CI of the highest mean HR were used to define the lower and upper values of the HR parameters in the univariate sensitivity analysis.</w:t>
      </w:r>
    </w:p>
    <w:p w14:paraId="12D92AB7" w14:textId="655D1E78" w:rsidR="007E172C" w:rsidRPr="00143E5F" w:rsidRDefault="007E172C" w:rsidP="00EB44B1">
      <w:r w:rsidRPr="00506CE9">
        <w:rPr>
          <w:lang w:val="en-GB"/>
        </w:rPr>
        <w:t xml:space="preserve">A probabilistic sensitivity analysis (PSA) was </w:t>
      </w:r>
      <w:r>
        <w:rPr>
          <w:lang w:val="en-GB"/>
        </w:rPr>
        <w:t xml:space="preserve">also </w:t>
      </w:r>
      <w:r w:rsidRPr="00506CE9">
        <w:rPr>
          <w:lang w:val="en-GB"/>
        </w:rPr>
        <w:t xml:space="preserve">conducted to describe how uncertainty around </w:t>
      </w:r>
      <w:r>
        <w:rPr>
          <w:lang w:val="en-GB"/>
        </w:rPr>
        <w:t>the HRs</w:t>
      </w:r>
      <w:r w:rsidRPr="00506CE9">
        <w:rPr>
          <w:lang w:val="en-GB"/>
        </w:rPr>
        <w:t xml:space="preserve"> </w:t>
      </w:r>
      <w:r>
        <w:rPr>
          <w:lang w:val="en-GB"/>
        </w:rPr>
        <w:t xml:space="preserve">and the baseline PFS and OS function </w:t>
      </w:r>
      <w:r w:rsidRPr="00506CE9">
        <w:rPr>
          <w:lang w:val="en-GB"/>
        </w:rPr>
        <w:t>is translated into uncertainty around the estimated</w:t>
      </w:r>
      <w:r>
        <w:rPr>
          <w:lang w:val="en-GB"/>
        </w:rPr>
        <w:t xml:space="preserve"> model outputs</w:t>
      </w:r>
      <w:r w:rsidRPr="00506CE9">
        <w:rPr>
          <w:lang w:val="en-GB"/>
        </w:rPr>
        <w:t>.</w:t>
      </w:r>
      <w:r>
        <w:rPr>
          <w:lang w:val="en-GB"/>
        </w:rPr>
        <w:t xml:space="preserve"> S</w:t>
      </w:r>
      <w:r w:rsidRPr="00506CE9">
        <w:rPr>
          <w:lang w:val="en-GB"/>
        </w:rPr>
        <w:t xml:space="preserve">uitable probability distributions were assigned to </w:t>
      </w:r>
      <w:r>
        <w:rPr>
          <w:lang w:val="en-GB"/>
        </w:rPr>
        <w:t xml:space="preserve">these </w:t>
      </w:r>
      <w:r w:rsidRPr="00506CE9">
        <w:rPr>
          <w:lang w:val="en-GB"/>
        </w:rPr>
        <w:t xml:space="preserve">model parameters to characterise uncertainty around their mean values. </w:t>
      </w:r>
      <w:r>
        <w:rPr>
          <w:lang w:val="en-GB"/>
        </w:rPr>
        <w:t xml:space="preserve">Specifically, a Cholesky decomposition was applied to the OS and PFS curve-fitting parameters, while a log-normal distribution was applied to parameters of comparative effectiveness. </w:t>
      </w:r>
      <w:r w:rsidRPr="00506CE9">
        <w:rPr>
          <w:lang w:val="en-GB"/>
        </w:rPr>
        <w:t>Values were sampled from the</w:t>
      </w:r>
      <w:r>
        <w:rPr>
          <w:lang w:val="en-GB"/>
        </w:rPr>
        <w:t xml:space="preserve">se distributions in an iterative process of </w:t>
      </w:r>
      <w:r w:rsidR="0076020D">
        <w:rPr>
          <w:lang w:val="en-GB"/>
        </w:rPr>
        <w:t>30</w:t>
      </w:r>
      <w:r>
        <w:rPr>
          <w:lang w:val="en-GB"/>
        </w:rPr>
        <w:t xml:space="preserve">,000 Monte Carlo simulations, </w:t>
      </w:r>
      <w:proofErr w:type="gramStart"/>
      <w:r>
        <w:rPr>
          <w:lang w:val="en-GB"/>
        </w:rPr>
        <w:t>in order to</w:t>
      </w:r>
      <w:proofErr w:type="gramEnd"/>
      <w:r>
        <w:rPr>
          <w:lang w:val="en-GB"/>
        </w:rPr>
        <w:t xml:space="preserve"> determine the joint distribution of incremental costs and incremental QALYs between the intervention and the comparator. </w:t>
      </w:r>
    </w:p>
    <w:p w14:paraId="02AE673A" w14:textId="77777777" w:rsidR="004F55E2" w:rsidRDefault="004F55E2"/>
    <w:p w14:paraId="5656ECE9" w14:textId="77777777" w:rsidR="004F55E2" w:rsidRDefault="004F55E2"/>
    <w:p w14:paraId="57213CAC" w14:textId="77777777" w:rsidR="008901CB" w:rsidRPr="008901CB" w:rsidRDefault="004F55E2" w:rsidP="008901CB">
      <w:pPr>
        <w:pStyle w:val="EndNoteBibliography"/>
        <w:spacing w:after="0"/>
        <w:ind w:left="720" w:hanging="720"/>
      </w:pPr>
      <w:r>
        <w:fldChar w:fldCharType="begin"/>
      </w:r>
      <w:r>
        <w:instrText xml:space="preserve"> ADDIN EN.REFLIST </w:instrText>
      </w:r>
      <w:r>
        <w:fldChar w:fldCharType="separate"/>
      </w:r>
      <w:r w:rsidR="008901CB" w:rsidRPr="008901CB">
        <w:t>1.</w:t>
      </w:r>
      <w:r w:rsidR="008901CB" w:rsidRPr="008901CB">
        <w:tab/>
        <w:t xml:space="preserve">Ding, P.V., T. J., </w:t>
      </w:r>
      <w:r w:rsidR="008901CB" w:rsidRPr="008901CB">
        <w:rPr>
          <w:i/>
        </w:rPr>
        <w:t>Sensitivity analysis without assumptions.</w:t>
      </w:r>
      <w:r w:rsidR="008901CB" w:rsidRPr="008901CB">
        <w:t xml:space="preserve"> Epidemiology, 2016. </w:t>
      </w:r>
      <w:r w:rsidR="008901CB" w:rsidRPr="008901CB">
        <w:rPr>
          <w:b/>
        </w:rPr>
        <w:t>27</w:t>
      </w:r>
      <w:r w:rsidR="008901CB" w:rsidRPr="008901CB">
        <w:t>(3): p. 368-377.</w:t>
      </w:r>
    </w:p>
    <w:p w14:paraId="64D1075A" w14:textId="77777777" w:rsidR="008901CB" w:rsidRPr="008901CB" w:rsidRDefault="008901CB" w:rsidP="008901CB">
      <w:pPr>
        <w:pStyle w:val="EndNoteBibliography"/>
        <w:spacing w:after="0"/>
        <w:ind w:left="720" w:hanging="720"/>
      </w:pPr>
      <w:r w:rsidRPr="008901CB">
        <w:t>2.</w:t>
      </w:r>
      <w:r w:rsidRPr="008901CB">
        <w:tab/>
        <w:t xml:space="preserve">Huang, R.X., R.Dulai, P. S., </w:t>
      </w:r>
      <w:r w:rsidRPr="008901CB">
        <w:rPr>
          <w:i/>
        </w:rPr>
        <w:t>Sensitivity analysis of treatment effect to unmeasured confounding in observational studies with survival and competing risks outcomes.</w:t>
      </w:r>
      <w:r w:rsidRPr="008901CB">
        <w:t xml:space="preserve"> Statistics in Medicine, 2020. </w:t>
      </w:r>
      <w:r w:rsidRPr="008901CB">
        <w:rPr>
          <w:b/>
        </w:rPr>
        <w:t>39</w:t>
      </w:r>
      <w:r w:rsidRPr="008901CB">
        <w:t>(24): p. 3397-3411.</w:t>
      </w:r>
    </w:p>
    <w:p w14:paraId="414510E2" w14:textId="77777777" w:rsidR="008901CB" w:rsidRPr="008901CB" w:rsidRDefault="008901CB" w:rsidP="008901CB">
      <w:pPr>
        <w:pStyle w:val="EndNoteBibliography"/>
        <w:spacing w:after="0"/>
        <w:ind w:left="720" w:hanging="720"/>
      </w:pPr>
      <w:r w:rsidRPr="008901CB">
        <w:t>3.</w:t>
      </w:r>
      <w:r w:rsidRPr="008901CB">
        <w:tab/>
        <w:t xml:space="preserve">Young, T.A., et al., </w:t>
      </w:r>
      <w:r w:rsidRPr="008901CB">
        <w:rPr>
          <w:i/>
        </w:rPr>
        <w:t>Mapping functions in health-related quality of life: mapping from two cancer-specific health-related quality-of-life instruments to EQ-5D-3L.</w:t>
      </w:r>
      <w:r w:rsidRPr="008901CB">
        <w:t xml:space="preserve"> Medical Decision Making, 2015. </w:t>
      </w:r>
      <w:r w:rsidRPr="008901CB">
        <w:rPr>
          <w:b/>
        </w:rPr>
        <w:t>35</w:t>
      </w:r>
      <w:r w:rsidRPr="008901CB">
        <w:t>(7): p. 912-926.</w:t>
      </w:r>
    </w:p>
    <w:p w14:paraId="15D5E04E" w14:textId="7264A1FE" w:rsidR="008901CB" w:rsidRPr="008901CB" w:rsidRDefault="008901CB" w:rsidP="008901CB">
      <w:pPr>
        <w:pStyle w:val="EndNoteBibliography"/>
        <w:spacing w:after="0"/>
        <w:ind w:left="720" w:hanging="720"/>
      </w:pPr>
      <w:r w:rsidRPr="008901CB">
        <w:t>4.</w:t>
      </w:r>
      <w:r w:rsidRPr="008901CB">
        <w:tab/>
        <w:t xml:space="preserve">Office of Health Economics. </w:t>
      </w:r>
      <w:r w:rsidRPr="008901CB">
        <w:rPr>
          <w:i/>
        </w:rPr>
        <w:t>OHE Seminar Launches ‘An EQ-5D-5L Value Set for England’</w:t>
      </w:r>
      <w:r w:rsidRPr="008901CB">
        <w:t xml:space="preserve">. 2014; Available from: </w:t>
      </w:r>
      <w:hyperlink r:id="rId8" w:history="1">
        <w:r w:rsidRPr="008901CB">
          <w:rPr>
            <w:rStyle w:val="Hyperlink"/>
          </w:rPr>
          <w:t>https://www.ohe.org/news/ohe-seminar-launches-eq-5d-5l-value-set-england</w:t>
        </w:r>
      </w:hyperlink>
      <w:r w:rsidRPr="008901CB">
        <w:t>.</w:t>
      </w:r>
    </w:p>
    <w:p w14:paraId="7942B71B" w14:textId="77777777" w:rsidR="008901CB" w:rsidRPr="008901CB" w:rsidRDefault="008901CB" w:rsidP="008901CB">
      <w:pPr>
        <w:pStyle w:val="EndNoteBibliography"/>
        <w:spacing w:after="0"/>
        <w:ind w:left="720" w:hanging="720"/>
      </w:pPr>
      <w:r w:rsidRPr="008901CB">
        <w:t>5.</w:t>
      </w:r>
      <w:r w:rsidRPr="008901CB">
        <w:tab/>
        <w:t xml:space="preserve">Chouaid, C., et al., </w:t>
      </w:r>
      <w:r w:rsidRPr="008901CB">
        <w:rPr>
          <w:i/>
        </w:rPr>
        <w:t>Health-related quality of life and utility in patients with advanced non-small-cell lung cancer: a prospective cross-sectional patient survey in a real-world setting.</w:t>
      </w:r>
      <w:r w:rsidRPr="008901CB">
        <w:t xml:space="preserve"> J Thorac Oncol, 2013. </w:t>
      </w:r>
      <w:r w:rsidRPr="008901CB">
        <w:rPr>
          <w:b/>
        </w:rPr>
        <w:t>8</w:t>
      </w:r>
      <w:r w:rsidRPr="008901CB">
        <w:t>(8): p. 997-1003.</w:t>
      </w:r>
    </w:p>
    <w:p w14:paraId="38509C0B" w14:textId="13191D88" w:rsidR="009050D0" w:rsidRDefault="004F55E2">
      <w:r>
        <w:fldChar w:fldCharType="end"/>
      </w:r>
    </w:p>
    <w:sectPr w:rsidR="009050D0" w:rsidSect="00FE46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0r0wfdfnev9tjeprpyp0zx6sdapx5xp529x&quot;&gt;QBAsimstudy&lt;record-ids&gt;&lt;item&gt;1&lt;/item&gt;&lt;item&gt;2&lt;/item&gt;&lt;item&gt;19&lt;/item&gt;&lt;item&gt;20&lt;/item&gt;&lt;/record-ids&gt;&lt;/item&gt;&lt;/Libraries&gt;"/>
  </w:docVars>
  <w:rsids>
    <w:rsidRoot w:val="007E172C"/>
    <w:rsid w:val="00002C1D"/>
    <w:rsid w:val="000D760B"/>
    <w:rsid w:val="001D3B06"/>
    <w:rsid w:val="001E7CB6"/>
    <w:rsid w:val="003074F9"/>
    <w:rsid w:val="00396417"/>
    <w:rsid w:val="003E020E"/>
    <w:rsid w:val="004457BE"/>
    <w:rsid w:val="00457F94"/>
    <w:rsid w:val="004A45FF"/>
    <w:rsid w:val="004F30AA"/>
    <w:rsid w:val="004F55E2"/>
    <w:rsid w:val="0067634F"/>
    <w:rsid w:val="006C0FFB"/>
    <w:rsid w:val="006E3634"/>
    <w:rsid w:val="006F455C"/>
    <w:rsid w:val="0073630C"/>
    <w:rsid w:val="0076020D"/>
    <w:rsid w:val="007B3735"/>
    <w:rsid w:val="007E172C"/>
    <w:rsid w:val="008901CB"/>
    <w:rsid w:val="008B78B7"/>
    <w:rsid w:val="009050D0"/>
    <w:rsid w:val="00917064"/>
    <w:rsid w:val="009A3031"/>
    <w:rsid w:val="009D6F18"/>
    <w:rsid w:val="00A02A54"/>
    <w:rsid w:val="00BB5FFA"/>
    <w:rsid w:val="00C66DB0"/>
    <w:rsid w:val="00CE39D4"/>
    <w:rsid w:val="00CF4BF1"/>
    <w:rsid w:val="00D3197E"/>
    <w:rsid w:val="00D652FA"/>
    <w:rsid w:val="00D83345"/>
    <w:rsid w:val="00E43620"/>
    <w:rsid w:val="00E61811"/>
    <w:rsid w:val="00EB44B1"/>
    <w:rsid w:val="00EE50A0"/>
    <w:rsid w:val="00F4470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92945"/>
  <w15:chartTrackingRefBased/>
  <w15:docId w15:val="{7FBE400C-A557-409D-A695-68A3E5873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6DB0"/>
    <w:pPr>
      <w:jc w:val="both"/>
    </w:pPr>
    <w:rPr>
      <w:rFonts w:ascii="Times New Roman" w:hAnsi="Times New Roman"/>
      <w:sz w:val="20"/>
      <w:lang w:val="en-US"/>
    </w:rPr>
  </w:style>
  <w:style w:type="paragraph" w:styleId="Heading1">
    <w:name w:val="heading 1"/>
    <w:basedOn w:val="Normal"/>
    <w:next w:val="BodyText"/>
    <w:link w:val="Heading1Char"/>
    <w:uiPriority w:val="1"/>
    <w:qFormat/>
    <w:rsid w:val="007E172C"/>
    <w:pPr>
      <w:keepNext/>
      <w:keepLines/>
      <w:spacing w:before="240" w:after="120" w:line="240" w:lineRule="auto"/>
      <w:outlineLvl w:val="0"/>
    </w:pPr>
    <w:rPr>
      <w:rFonts w:ascii="Calibri" w:eastAsiaTheme="majorEastAsia" w:hAnsi="Calibri" w:cstheme="majorBidi"/>
      <w:b/>
      <w:sz w:val="36"/>
      <w:szCs w:val="32"/>
      <w:lang w:val="en-GB"/>
    </w:rPr>
  </w:style>
  <w:style w:type="paragraph" w:styleId="Heading2">
    <w:name w:val="heading 2"/>
    <w:basedOn w:val="Normal"/>
    <w:next w:val="Normal"/>
    <w:link w:val="Heading2Char"/>
    <w:uiPriority w:val="1"/>
    <w:unhideWhenUsed/>
    <w:qFormat/>
    <w:rsid w:val="007E172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E172C"/>
    <w:rPr>
      <w:rFonts w:ascii="Calibri" w:eastAsiaTheme="majorEastAsia" w:hAnsi="Calibri" w:cstheme="majorBidi"/>
      <w:b/>
      <w:sz w:val="36"/>
      <w:szCs w:val="32"/>
      <w:lang w:val="en-GB"/>
    </w:rPr>
  </w:style>
  <w:style w:type="character" w:customStyle="1" w:styleId="Heading2Char">
    <w:name w:val="Heading 2 Char"/>
    <w:basedOn w:val="DefaultParagraphFont"/>
    <w:link w:val="Heading2"/>
    <w:uiPriority w:val="1"/>
    <w:rsid w:val="007E172C"/>
    <w:rPr>
      <w:rFonts w:asciiTheme="majorHAnsi" w:eastAsiaTheme="majorEastAsia" w:hAnsiTheme="majorHAnsi" w:cstheme="majorBidi"/>
      <w:color w:val="2F5496" w:themeColor="accent1" w:themeShade="BF"/>
      <w:sz w:val="26"/>
      <w:szCs w:val="26"/>
      <w:lang w:val="en-US"/>
    </w:rPr>
  </w:style>
  <w:style w:type="character" w:styleId="CommentReference">
    <w:name w:val="annotation reference"/>
    <w:basedOn w:val="DefaultParagraphFont"/>
    <w:uiPriority w:val="99"/>
    <w:semiHidden/>
    <w:unhideWhenUsed/>
    <w:rsid w:val="007E172C"/>
    <w:rPr>
      <w:sz w:val="16"/>
      <w:szCs w:val="16"/>
    </w:rPr>
  </w:style>
  <w:style w:type="paragraph" w:styleId="CommentText">
    <w:name w:val="annotation text"/>
    <w:basedOn w:val="Normal"/>
    <w:link w:val="CommentTextChar"/>
    <w:uiPriority w:val="99"/>
    <w:unhideWhenUsed/>
    <w:rsid w:val="007E172C"/>
    <w:pPr>
      <w:spacing w:line="240" w:lineRule="auto"/>
    </w:pPr>
    <w:rPr>
      <w:szCs w:val="20"/>
    </w:rPr>
  </w:style>
  <w:style w:type="character" w:customStyle="1" w:styleId="CommentTextChar">
    <w:name w:val="Comment Text Char"/>
    <w:basedOn w:val="DefaultParagraphFont"/>
    <w:link w:val="CommentText"/>
    <w:uiPriority w:val="99"/>
    <w:rsid w:val="007E172C"/>
    <w:rPr>
      <w:rFonts w:ascii="Times New Roman" w:hAnsi="Times New Roman"/>
      <w:sz w:val="20"/>
      <w:szCs w:val="20"/>
      <w:lang w:val="en-US"/>
    </w:rPr>
  </w:style>
  <w:style w:type="character" w:styleId="Hyperlink">
    <w:name w:val="Hyperlink"/>
    <w:basedOn w:val="DefaultParagraphFont"/>
    <w:uiPriority w:val="99"/>
    <w:unhideWhenUsed/>
    <w:rsid w:val="007E172C"/>
    <w:rPr>
      <w:color w:val="0563C1" w:themeColor="hyperlink"/>
      <w:u w:val="single"/>
    </w:rPr>
  </w:style>
  <w:style w:type="paragraph" w:styleId="BodyText">
    <w:name w:val="Body Text"/>
    <w:basedOn w:val="Normal"/>
    <w:link w:val="BodyTextChar"/>
    <w:qFormat/>
    <w:rsid w:val="007E172C"/>
    <w:pPr>
      <w:spacing w:line="260" w:lineRule="atLeast"/>
    </w:pPr>
    <w:rPr>
      <w:rFonts w:ascii="Calibri" w:hAnsi="Calibri"/>
      <w:lang w:val="en-GB"/>
    </w:rPr>
  </w:style>
  <w:style w:type="character" w:customStyle="1" w:styleId="BodyTextChar">
    <w:name w:val="Body Text Char"/>
    <w:basedOn w:val="DefaultParagraphFont"/>
    <w:link w:val="BodyText"/>
    <w:rsid w:val="007E172C"/>
    <w:rPr>
      <w:rFonts w:ascii="Calibri" w:hAnsi="Calibri"/>
      <w:sz w:val="20"/>
      <w:lang w:val="en-GB"/>
    </w:rPr>
  </w:style>
  <w:style w:type="paragraph" w:styleId="Caption">
    <w:name w:val="caption"/>
    <w:aliases w:val="Caption PHMR,Caption for Figures and Tables,TabFig title/caption,fig cadre,Caption Char Char,Caption Char Char Char Char,fig cadre Char2,Caption Char2,fig cadre Char Char,Caption Char1,Char Char Char,Char Char1,Char Char,Char1,Table caption,c"/>
    <w:basedOn w:val="Normal"/>
    <w:next w:val="Normal"/>
    <w:link w:val="CaptionChar"/>
    <w:unhideWhenUsed/>
    <w:qFormat/>
    <w:rsid w:val="007E172C"/>
    <w:pPr>
      <w:spacing w:after="200" w:line="240" w:lineRule="auto"/>
    </w:pPr>
    <w:rPr>
      <w:i/>
      <w:iCs/>
      <w:color w:val="44546A" w:themeColor="text2"/>
      <w:sz w:val="18"/>
      <w:szCs w:val="18"/>
    </w:rPr>
  </w:style>
  <w:style w:type="character" w:customStyle="1" w:styleId="CaptionChar">
    <w:name w:val="Caption Char"/>
    <w:aliases w:val="Caption PHMR Char,Caption for Figures and Tables Char,TabFig title/caption Char,fig cadre Char,Caption Char Char Char,Caption Char Char Char Char Char,fig cadre Char2 Char,Caption Char2 Char,fig cadre Char Char Char,Caption Char1 Char"/>
    <w:link w:val="Caption"/>
    <w:rsid w:val="007E172C"/>
    <w:rPr>
      <w:rFonts w:ascii="Times New Roman" w:hAnsi="Times New Roman"/>
      <w:i/>
      <w:iCs/>
      <w:color w:val="44546A" w:themeColor="text2"/>
      <w:sz w:val="18"/>
      <w:szCs w:val="18"/>
      <w:lang w:val="en-US"/>
    </w:rPr>
  </w:style>
  <w:style w:type="character" w:styleId="Mention">
    <w:name w:val="Mention"/>
    <w:basedOn w:val="DefaultParagraphFont"/>
    <w:uiPriority w:val="99"/>
    <w:unhideWhenUsed/>
    <w:rsid w:val="007E172C"/>
    <w:rPr>
      <w:color w:val="2B579A"/>
      <w:shd w:val="clear" w:color="auto" w:fill="E1DFDD"/>
    </w:rPr>
  </w:style>
  <w:style w:type="paragraph" w:customStyle="1" w:styleId="EndNoteBibliographyTitle">
    <w:name w:val="EndNote Bibliography Title"/>
    <w:basedOn w:val="Normal"/>
    <w:link w:val="EndNoteBibliographyTitleChar"/>
    <w:rsid w:val="004F55E2"/>
    <w:pPr>
      <w:spacing w:after="0"/>
      <w:jc w:val="center"/>
    </w:pPr>
    <w:rPr>
      <w:rFonts w:cs="Times New Roman"/>
      <w:noProof/>
    </w:rPr>
  </w:style>
  <w:style w:type="character" w:customStyle="1" w:styleId="EndNoteBibliographyTitleChar">
    <w:name w:val="EndNote Bibliography Title Char"/>
    <w:basedOn w:val="DefaultParagraphFont"/>
    <w:link w:val="EndNoteBibliographyTitle"/>
    <w:rsid w:val="004F55E2"/>
    <w:rPr>
      <w:rFonts w:ascii="Times New Roman" w:hAnsi="Times New Roman" w:cs="Times New Roman"/>
      <w:noProof/>
      <w:sz w:val="20"/>
      <w:lang w:val="en-US"/>
    </w:rPr>
  </w:style>
  <w:style w:type="paragraph" w:customStyle="1" w:styleId="EndNoteBibliography">
    <w:name w:val="EndNote Bibliography"/>
    <w:basedOn w:val="Normal"/>
    <w:link w:val="EndNoteBibliographyChar"/>
    <w:rsid w:val="004F55E2"/>
    <w:pPr>
      <w:spacing w:line="240" w:lineRule="auto"/>
    </w:pPr>
    <w:rPr>
      <w:rFonts w:cs="Times New Roman"/>
      <w:noProof/>
    </w:rPr>
  </w:style>
  <w:style w:type="character" w:customStyle="1" w:styleId="EndNoteBibliographyChar">
    <w:name w:val="EndNote Bibliography Char"/>
    <w:basedOn w:val="DefaultParagraphFont"/>
    <w:link w:val="EndNoteBibliography"/>
    <w:rsid w:val="004F55E2"/>
    <w:rPr>
      <w:rFonts w:ascii="Times New Roman" w:hAnsi="Times New Roman" w:cs="Times New Roman"/>
      <w:noProof/>
      <w:sz w:val="20"/>
      <w:lang w:val="en-US"/>
    </w:rPr>
  </w:style>
  <w:style w:type="character" w:styleId="FollowedHyperlink">
    <w:name w:val="FollowedHyperlink"/>
    <w:basedOn w:val="DefaultParagraphFont"/>
    <w:uiPriority w:val="99"/>
    <w:semiHidden/>
    <w:unhideWhenUsed/>
    <w:rsid w:val="004A45FF"/>
    <w:rPr>
      <w:color w:val="954F72" w:themeColor="followedHyperlink"/>
      <w:u w:val="single"/>
    </w:rPr>
  </w:style>
  <w:style w:type="character" w:styleId="UnresolvedMention">
    <w:name w:val="Unresolved Mention"/>
    <w:basedOn w:val="DefaultParagraphFont"/>
    <w:uiPriority w:val="99"/>
    <w:semiHidden/>
    <w:unhideWhenUsed/>
    <w:rsid w:val="006F455C"/>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002C1D"/>
    <w:rPr>
      <w:b/>
      <w:bCs/>
    </w:rPr>
  </w:style>
  <w:style w:type="character" w:customStyle="1" w:styleId="CommentSubjectChar">
    <w:name w:val="Comment Subject Char"/>
    <w:basedOn w:val="CommentTextChar"/>
    <w:link w:val="CommentSubject"/>
    <w:uiPriority w:val="99"/>
    <w:semiHidden/>
    <w:rsid w:val="00002C1D"/>
    <w:rPr>
      <w:rFonts w:ascii="Times New Roman" w:hAnsi="Times New Roman"/>
      <w:b/>
      <w:bCs/>
      <w:sz w:val="20"/>
      <w:szCs w:val="20"/>
      <w:lang w:val="en-US"/>
    </w:rPr>
  </w:style>
  <w:style w:type="table" w:styleId="TableGrid">
    <w:name w:val="Table Grid"/>
    <w:basedOn w:val="TableNormal"/>
    <w:uiPriority w:val="39"/>
    <w:rsid w:val="00C66D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3187826">
      <w:bodyDiv w:val="1"/>
      <w:marLeft w:val="0"/>
      <w:marRight w:val="0"/>
      <w:marTop w:val="0"/>
      <w:marBottom w:val="0"/>
      <w:divBdr>
        <w:top w:val="none" w:sz="0" w:space="0" w:color="auto"/>
        <w:left w:val="none" w:sz="0" w:space="0" w:color="auto"/>
        <w:bottom w:val="none" w:sz="0" w:space="0" w:color="auto"/>
        <w:right w:val="none" w:sz="0" w:space="0" w:color="auto"/>
      </w:divBdr>
    </w:div>
    <w:div w:id="986979516">
      <w:bodyDiv w:val="1"/>
      <w:marLeft w:val="0"/>
      <w:marRight w:val="0"/>
      <w:marTop w:val="0"/>
      <w:marBottom w:val="0"/>
      <w:divBdr>
        <w:top w:val="none" w:sz="0" w:space="0" w:color="auto"/>
        <w:left w:val="none" w:sz="0" w:space="0" w:color="auto"/>
        <w:bottom w:val="none" w:sz="0" w:space="0" w:color="auto"/>
        <w:right w:val="none" w:sz="0" w:space="0" w:color="auto"/>
      </w:divBdr>
    </w:div>
    <w:div w:id="1009716529">
      <w:bodyDiv w:val="1"/>
      <w:marLeft w:val="0"/>
      <w:marRight w:val="0"/>
      <w:marTop w:val="0"/>
      <w:marBottom w:val="0"/>
      <w:divBdr>
        <w:top w:val="none" w:sz="0" w:space="0" w:color="auto"/>
        <w:left w:val="none" w:sz="0" w:space="0" w:color="auto"/>
        <w:bottom w:val="none" w:sz="0" w:space="0" w:color="auto"/>
        <w:right w:val="none" w:sz="0" w:space="0" w:color="auto"/>
      </w:divBdr>
    </w:div>
    <w:div w:id="1229653283">
      <w:bodyDiv w:val="1"/>
      <w:marLeft w:val="0"/>
      <w:marRight w:val="0"/>
      <w:marTop w:val="0"/>
      <w:marBottom w:val="0"/>
      <w:divBdr>
        <w:top w:val="none" w:sz="0" w:space="0" w:color="auto"/>
        <w:left w:val="none" w:sz="0" w:space="0" w:color="auto"/>
        <w:bottom w:val="none" w:sz="0" w:space="0" w:color="auto"/>
        <w:right w:val="none" w:sz="0" w:space="0" w:color="auto"/>
      </w:divBdr>
    </w:div>
    <w:div w:id="132430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he.org/news/ohe-seminar-launches-eq-5d-5l-value-set-england" TargetMode="Externa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7C79D319E337E4CB5DADB1A45E13443" ma:contentTypeVersion="13" ma:contentTypeDescription="Create a new document." ma:contentTypeScope="" ma:versionID="e8f276512282a4cf2894a5ada1c21c1a">
  <xsd:schema xmlns:xsd="http://www.w3.org/2001/XMLSchema" xmlns:xs="http://www.w3.org/2001/XMLSchema" xmlns:p="http://schemas.microsoft.com/office/2006/metadata/properties" xmlns:ns2="c9586d67-c06f-4cd8-b8f8-8313269c6c7d" xmlns:ns3="a785ad58-1d57-4f8a-aa71-77170459bd0d" xmlns:ns4="e5c8d4d1-8f1b-4522-8b32-23c31fd63db1" targetNamespace="http://schemas.microsoft.com/office/2006/metadata/properties" ma:root="true" ma:fieldsID="6c547ab4f3608a228a30600c1826ed40" ns2:_="" ns3:_="" ns4:_="">
    <xsd:import namespace="c9586d67-c06f-4cd8-b8f8-8313269c6c7d"/>
    <xsd:import namespace="a785ad58-1d57-4f8a-aa71-77170459bd0d"/>
    <xsd:import namespace="e5c8d4d1-8f1b-4522-8b32-23c31fd63db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586d67-c06f-4cd8-b8f8-8313269c6c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85ad58-1d57-4f8a-aa71-77170459bd0d" elementFormDefault="qualified">
    <xsd:import namespace="http://schemas.microsoft.com/office/2006/documentManagement/types"/>
    <xsd:import namespace="http://schemas.microsoft.com/office/infopath/2007/PartnerControls"/>
    <xsd:element name="SharedWithUsers" ma:index="19" nillable="true" ma:displayName="Shared With" ma:internalName="_x0024_Resources_x003a_core_x002c_SharedWithFieldDisplayName_x003b_"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c8d4d1-8f1b-4522-8b32-23c31fd63db1" elementFormDefault="qualified">
    <xsd:import namespace="http://schemas.microsoft.com/office/2006/documentManagement/types"/>
    <xsd:import namespace="http://schemas.microsoft.com/office/infopath/2007/PartnerControls"/>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6D9F3C-E84F-41C4-B05E-119878FC3096}">
  <ds:schemaRefs>
    <ds:schemaRef ds:uri="http://schemas.microsoft.com/sharepoint/v3/contenttype/forms"/>
  </ds:schemaRefs>
</ds:datastoreItem>
</file>

<file path=customXml/itemProps2.xml><?xml version="1.0" encoding="utf-8"?>
<ds:datastoreItem xmlns:ds="http://schemas.openxmlformats.org/officeDocument/2006/customXml" ds:itemID="{81429B68-A898-4619-947E-CA50D3DB32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586d67-c06f-4cd8-b8f8-8313269c6c7d"/>
    <ds:schemaRef ds:uri="a785ad58-1d57-4f8a-aa71-77170459bd0d"/>
    <ds:schemaRef ds:uri="e5c8d4d1-8f1b-4522-8b32-23c31fd63d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2B447B-CF02-4EB3-8F04-D1FC2A9AE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5</Pages>
  <Words>2099</Words>
  <Characters>11965</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Leahy</dc:creator>
  <cp:keywords/>
  <dc:description/>
  <cp:lastModifiedBy>Thomas Leahy</cp:lastModifiedBy>
  <cp:revision>37</cp:revision>
  <dcterms:created xsi:type="dcterms:W3CDTF">2021-09-30T13:12:00Z</dcterms:created>
  <dcterms:modified xsi:type="dcterms:W3CDTF">2022-02-14T15:23:00Z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0x01010007C79D319E337E4CB5DADB1A45E13443</vt:lpwstr>
  </property>
</Properties>
</file>