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FE1CB" w14:textId="4DC3EBF5" w:rsidR="00BD3CA3" w:rsidRDefault="00DC157A" w:rsidP="008D6DD5">
      <w:pPr>
        <w:pStyle w:val="Caption"/>
        <w:keepNext/>
        <w:spacing w:line="360" w:lineRule="auto"/>
      </w:pPr>
      <w:bookmarkStart w:id="0" w:name="_Ref71030580"/>
      <w:r>
        <w:t>Supplementary Material</w:t>
      </w:r>
      <w:r w:rsidR="00BD3CA3">
        <w:t xml:space="preserve"> </w:t>
      </w:r>
      <w:r w:rsidR="00BD3CA3">
        <w:rPr>
          <w:noProof/>
        </w:rPr>
        <w:t>1</w:t>
      </w:r>
      <w:bookmarkEnd w:id="0"/>
      <w:r w:rsidR="00BD3CA3">
        <w:t xml:space="preserve"> </w:t>
      </w:r>
      <w:r w:rsidR="00BD3CA3" w:rsidRPr="00F01A2C">
        <w:t>Early-access designations in the US, EU, Japan and China</w:t>
      </w:r>
    </w:p>
    <w:tbl>
      <w:tblPr>
        <w:tblStyle w:val="TableGridLight"/>
        <w:tblW w:w="14175" w:type="dxa"/>
        <w:tblLayout w:type="fixed"/>
        <w:tblLook w:val="04A0" w:firstRow="1" w:lastRow="0" w:firstColumn="1" w:lastColumn="0" w:noHBand="0" w:noVBand="1"/>
      </w:tblPr>
      <w:tblGrid>
        <w:gridCol w:w="851"/>
        <w:gridCol w:w="1701"/>
        <w:gridCol w:w="3685"/>
        <w:gridCol w:w="1039"/>
        <w:gridCol w:w="1040"/>
        <w:gridCol w:w="1039"/>
        <w:gridCol w:w="1040"/>
        <w:gridCol w:w="1039"/>
        <w:gridCol w:w="1037"/>
        <w:gridCol w:w="1704"/>
      </w:tblGrid>
      <w:tr w:rsidR="00BD3CA3" w:rsidRPr="00186336" w14:paraId="1B628406" w14:textId="77777777" w:rsidTr="008D6DD5">
        <w:tc>
          <w:tcPr>
            <w:tcW w:w="851" w:type="dxa"/>
            <w:vMerge w:val="restart"/>
          </w:tcPr>
          <w:p w14:paraId="4385E07E" w14:textId="77777777" w:rsidR="00BD3CA3" w:rsidRPr="0091577B" w:rsidRDefault="00BD3CA3" w:rsidP="003838B7">
            <w:pPr>
              <w:spacing w:line="360" w:lineRule="auto"/>
              <w:jc w:val="center"/>
              <w:rPr>
                <w:rFonts w:asciiTheme="minorHAnsi" w:hAnsiTheme="minorHAnsi" w:cs="Times New Roman"/>
                <w:sz w:val="17"/>
                <w:szCs w:val="17"/>
              </w:rPr>
            </w:pPr>
            <w:r w:rsidRPr="0091577B">
              <w:rPr>
                <w:rFonts w:asciiTheme="minorHAnsi" w:hAnsiTheme="minorHAnsi" w:cs="Times New Roman"/>
                <w:sz w:val="17"/>
                <w:szCs w:val="17"/>
              </w:rPr>
              <w:t>Country</w:t>
            </w:r>
            <w:r>
              <w:rPr>
                <w:rFonts w:asciiTheme="minorHAnsi" w:hAnsiTheme="minorHAnsi" w:cs="Times New Roman"/>
                <w:sz w:val="17"/>
                <w:szCs w:val="17"/>
              </w:rPr>
              <w:t xml:space="preserve">/ </w:t>
            </w:r>
          </w:p>
          <w:p w14:paraId="02022103" w14:textId="77777777" w:rsidR="00BD3CA3" w:rsidRPr="0091577B" w:rsidRDefault="00BD3CA3" w:rsidP="003838B7">
            <w:pPr>
              <w:spacing w:line="360" w:lineRule="auto"/>
              <w:ind w:left="-116" w:right="-106"/>
              <w:jc w:val="center"/>
              <w:rPr>
                <w:rFonts w:asciiTheme="minorHAnsi" w:hAnsiTheme="minorHAnsi" w:cs="Times New Roman"/>
                <w:sz w:val="17"/>
                <w:szCs w:val="17"/>
              </w:rPr>
            </w:pPr>
            <w:r w:rsidRPr="0091577B">
              <w:rPr>
                <w:rFonts w:asciiTheme="minorHAnsi" w:hAnsiTheme="minorHAnsi" w:cs="Times New Roman"/>
                <w:sz w:val="17"/>
                <w:szCs w:val="17"/>
              </w:rPr>
              <w:t>Regulatory body</w:t>
            </w:r>
          </w:p>
        </w:tc>
        <w:tc>
          <w:tcPr>
            <w:tcW w:w="1701" w:type="dxa"/>
            <w:vMerge w:val="restart"/>
          </w:tcPr>
          <w:p w14:paraId="26B91E66" w14:textId="77777777" w:rsidR="00BD3CA3" w:rsidRPr="0091577B" w:rsidRDefault="00BD3CA3" w:rsidP="003838B7">
            <w:pPr>
              <w:spacing w:line="360" w:lineRule="auto"/>
              <w:ind w:left="-109" w:right="-103"/>
              <w:jc w:val="center"/>
              <w:rPr>
                <w:rFonts w:asciiTheme="minorHAnsi" w:hAnsiTheme="minorHAnsi" w:cs="Times New Roman"/>
                <w:sz w:val="17"/>
                <w:szCs w:val="17"/>
              </w:rPr>
            </w:pPr>
            <w:r w:rsidRPr="0091577B">
              <w:rPr>
                <w:rFonts w:asciiTheme="minorHAnsi" w:hAnsiTheme="minorHAnsi" w:cs="Times New Roman"/>
                <w:sz w:val="17"/>
                <w:szCs w:val="17"/>
              </w:rPr>
              <w:t xml:space="preserve">Regulatory pathway </w:t>
            </w:r>
          </w:p>
          <w:p w14:paraId="26CFEC46" w14:textId="77777777" w:rsidR="00BD3CA3" w:rsidRPr="0091577B" w:rsidRDefault="00BD3CA3" w:rsidP="003838B7">
            <w:pPr>
              <w:spacing w:line="360" w:lineRule="auto"/>
              <w:ind w:left="-109" w:right="-103"/>
              <w:jc w:val="center"/>
              <w:rPr>
                <w:rFonts w:asciiTheme="minorHAnsi" w:hAnsiTheme="minorHAnsi" w:cs="Times New Roman"/>
                <w:sz w:val="17"/>
                <w:szCs w:val="17"/>
              </w:rPr>
            </w:pPr>
            <w:r w:rsidRPr="0091577B">
              <w:rPr>
                <w:rFonts w:asciiTheme="minorHAnsi" w:hAnsiTheme="minorHAnsi" w:cs="Times New Roman"/>
                <w:sz w:val="17"/>
                <w:szCs w:val="17"/>
              </w:rPr>
              <w:t>(Year of introduction)</w:t>
            </w:r>
          </w:p>
        </w:tc>
        <w:tc>
          <w:tcPr>
            <w:tcW w:w="3685" w:type="dxa"/>
            <w:vMerge w:val="restart"/>
          </w:tcPr>
          <w:p w14:paraId="11A81346" w14:textId="77777777" w:rsidR="00BD3CA3" w:rsidRPr="0091577B" w:rsidRDefault="00BD3CA3" w:rsidP="003838B7">
            <w:pPr>
              <w:spacing w:line="360" w:lineRule="auto"/>
              <w:ind w:left="-112" w:right="-113"/>
              <w:jc w:val="center"/>
              <w:rPr>
                <w:rFonts w:asciiTheme="minorHAnsi" w:hAnsiTheme="minorHAnsi" w:cs="Times New Roman"/>
                <w:sz w:val="17"/>
                <w:szCs w:val="17"/>
              </w:rPr>
            </w:pPr>
            <w:r w:rsidRPr="0091577B">
              <w:rPr>
                <w:rFonts w:asciiTheme="minorHAnsi" w:hAnsiTheme="minorHAnsi" w:cs="Times New Roman"/>
                <w:sz w:val="17"/>
                <w:szCs w:val="17"/>
              </w:rPr>
              <w:t>Implication</w:t>
            </w:r>
          </w:p>
        </w:tc>
        <w:tc>
          <w:tcPr>
            <w:tcW w:w="6234" w:type="dxa"/>
            <w:gridSpan w:val="6"/>
          </w:tcPr>
          <w:p w14:paraId="77F80FBC"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sz w:val="17"/>
                <w:szCs w:val="17"/>
              </w:rPr>
              <w:t>Qualifying criteria</w:t>
            </w:r>
          </w:p>
        </w:tc>
        <w:tc>
          <w:tcPr>
            <w:tcW w:w="1704" w:type="dxa"/>
            <w:vMerge w:val="restart"/>
          </w:tcPr>
          <w:p w14:paraId="02809F0E" w14:textId="77777777" w:rsidR="00BD3CA3" w:rsidRPr="0091577B" w:rsidRDefault="00BD3CA3" w:rsidP="003838B7">
            <w:pPr>
              <w:spacing w:line="360" w:lineRule="auto"/>
              <w:ind w:left="-104"/>
              <w:jc w:val="center"/>
              <w:rPr>
                <w:rFonts w:asciiTheme="minorHAnsi" w:hAnsiTheme="minorHAnsi" w:cs="Times New Roman"/>
                <w:sz w:val="17"/>
                <w:szCs w:val="17"/>
              </w:rPr>
            </w:pPr>
            <w:r w:rsidRPr="0091577B">
              <w:rPr>
                <w:rFonts w:asciiTheme="minorHAnsi" w:hAnsiTheme="minorHAnsi" w:cs="Times New Roman"/>
                <w:sz w:val="17"/>
                <w:szCs w:val="17"/>
              </w:rPr>
              <w:t>Example cell/gene therapy product that used this designation</w:t>
            </w:r>
          </w:p>
        </w:tc>
      </w:tr>
      <w:tr w:rsidR="00BD3CA3" w:rsidRPr="00186336" w14:paraId="71D50E67" w14:textId="77777777" w:rsidTr="008D6DD5">
        <w:tc>
          <w:tcPr>
            <w:tcW w:w="851" w:type="dxa"/>
            <w:vMerge/>
          </w:tcPr>
          <w:p w14:paraId="2D6FACE8"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vMerge/>
          </w:tcPr>
          <w:p w14:paraId="3048F8C7" w14:textId="77777777" w:rsidR="00BD3CA3" w:rsidRPr="00186336" w:rsidRDefault="00BD3CA3" w:rsidP="003838B7">
            <w:pPr>
              <w:spacing w:line="360" w:lineRule="auto"/>
              <w:ind w:left="-109" w:right="-103"/>
              <w:jc w:val="center"/>
              <w:rPr>
                <w:rFonts w:asciiTheme="minorHAnsi" w:hAnsiTheme="minorHAnsi" w:cs="Times New Roman"/>
                <w:sz w:val="16"/>
                <w:szCs w:val="16"/>
              </w:rPr>
            </w:pPr>
          </w:p>
        </w:tc>
        <w:tc>
          <w:tcPr>
            <w:tcW w:w="3685" w:type="dxa"/>
            <w:vMerge/>
          </w:tcPr>
          <w:p w14:paraId="7A7CC27B" w14:textId="77777777" w:rsidR="00BD3CA3" w:rsidRPr="00186336" w:rsidRDefault="00BD3CA3" w:rsidP="003838B7">
            <w:pPr>
              <w:spacing w:line="360" w:lineRule="auto"/>
              <w:ind w:left="-112" w:right="-113"/>
              <w:jc w:val="center"/>
              <w:rPr>
                <w:rFonts w:asciiTheme="minorHAnsi" w:hAnsiTheme="minorHAnsi" w:cs="Times New Roman"/>
                <w:sz w:val="16"/>
                <w:szCs w:val="16"/>
              </w:rPr>
            </w:pPr>
          </w:p>
        </w:tc>
        <w:tc>
          <w:tcPr>
            <w:tcW w:w="1039" w:type="dxa"/>
          </w:tcPr>
          <w:p w14:paraId="1F3DE0DF"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bCs/>
                <w:color w:val="000000"/>
                <w:sz w:val="17"/>
                <w:szCs w:val="17"/>
              </w:rPr>
              <w:t>Serious life-threatening disease</w:t>
            </w:r>
          </w:p>
        </w:tc>
        <w:tc>
          <w:tcPr>
            <w:tcW w:w="1040" w:type="dxa"/>
          </w:tcPr>
          <w:p w14:paraId="23E88BFA"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bCs/>
                <w:color w:val="000000"/>
                <w:sz w:val="17"/>
                <w:szCs w:val="17"/>
              </w:rPr>
              <w:t>Orphan patient population</w:t>
            </w:r>
          </w:p>
        </w:tc>
        <w:tc>
          <w:tcPr>
            <w:tcW w:w="1039" w:type="dxa"/>
          </w:tcPr>
          <w:p w14:paraId="2B4EBBCE"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bCs/>
                <w:color w:val="000000"/>
                <w:sz w:val="17"/>
                <w:szCs w:val="17"/>
              </w:rPr>
              <w:t>Unmet medical need</w:t>
            </w:r>
          </w:p>
        </w:tc>
        <w:tc>
          <w:tcPr>
            <w:tcW w:w="1040" w:type="dxa"/>
          </w:tcPr>
          <w:p w14:paraId="06879A57"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bCs/>
                <w:color w:val="000000"/>
                <w:sz w:val="17"/>
                <w:szCs w:val="17"/>
              </w:rPr>
              <w:t>Superior to existing treatment</w:t>
            </w:r>
          </w:p>
        </w:tc>
        <w:tc>
          <w:tcPr>
            <w:tcW w:w="1039" w:type="dxa"/>
          </w:tcPr>
          <w:p w14:paraId="1B38C08B" w14:textId="77777777" w:rsidR="00BD3CA3" w:rsidRPr="0091577B" w:rsidRDefault="00BD3CA3" w:rsidP="003838B7">
            <w:pPr>
              <w:spacing w:line="360" w:lineRule="auto"/>
              <w:ind w:left="-101" w:right="-63"/>
              <w:jc w:val="center"/>
              <w:rPr>
                <w:rFonts w:asciiTheme="minorHAnsi" w:hAnsiTheme="minorHAnsi" w:cs="Times New Roman"/>
                <w:sz w:val="17"/>
                <w:szCs w:val="17"/>
              </w:rPr>
            </w:pPr>
            <w:r w:rsidRPr="0091577B">
              <w:rPr>
                <w:rFonts w:asciiTheme="minorHAnsi" w:hAnsiTheme="minorHAnsi" w:cs="Times New Roman"/>
                <w:bCs/>
                <w:color w:val="000000"/>
                <w:sz w:val="17"/>
                <w:szCs w:val="17"/>
              </w:rPr>
              <w:t>Pediatric indications</w:t>
            </w:r>
          </w:p>
        </w:tc>
        <w:tc>
          <w:tcPr>
            <w:tcW w:w="1037" w:type="dxa"/>
          </w:tcPr>
          <w:p w14:paraId="6B3F4C2A" w14:textId="77777777" w:rsidR="00BD3CA3" w:rsidRPr="0091577B" w:rsidRDefault="00BD3CA3" w:rsidP="003838B7">
            <w:pPr>
              <w:spacing w:line="360" w:lineRule="auto"/>
              <w:ind w:left="-101" w:right="-110"/>
              <w:jc w:val="center"/>
              <w:rPr>
                <w:rFonts w:asciiTheme="minorHAnsi" w:hAnsiTheme="minorHAnsi" w:cs="Times New Roman"/>
                <w:sz w:val="17"/>
                <w:szCs w:val="17"/>
              </w:rPr>
            </w:pPr>
            <w:r w:rsidRPr="0091577B">
              <w:rPr>
                <w:rFonts w:asciiTheme="minorHAnsi" w:hAnsiTheme="minorHAnsi" w:cs="Times New Roman"/>
                <w:bCs/>
                <w:color w:val="000000"/>
                <w:sz w:val="17"/>
                <w:szCs w:val="17"/>
              </w:rPr>
              <w:t>Regenerative Medicine</w:t>
            </w:r>
          </w:p>
        </w:tc>
        <w:tc>
          <w:tcPr>
            <w:tcW w:w="1704" w:type="dxa"/>
            <w:vMerge/>
          </w:tcPr>
          <w:p w14:paraId="7659E5E2" w14:textId="77777777" w:rsidR="00BD3CA3" w:rsidRPr="00186336" w:rsidRDefault="00BD3CA3" w:rsidP="003838B7">
            <w:pPr>
              <w:spacing w:line="360" w:lineRule="auto"/>
              <w:jc w:val="center"/>
              <w:rPr>
                <w:rFonts w:asciiTheme="minorHAnsi" w:hAnsiTheme="minorHAnsi" w:cs="Times New Roman"/>
                <w:b/>
                <w:bCs/>
                <w:color w:val="000000"/>
                <w:sz w:val="16"/>
                <w:szCs w:val="16"/>
              </w:rPr>
            </w:pPr>
          </w:p>
        </w:tc>
      </w:tr>
      <w:tr w:rsidR="00BD3CA3" w:rsidRPr="00186336" w14:paraId="10EB16B4" w14:textId="77777777" w:rsidTr="008D6DD5">
        <w:tc>
          <w:tcPr>
            <w:tcW w:w="851" w:type="dxa"/>
            <w:vMerge w:val="restart"/>
          </w:tcPr>
          <w:p w14:paraId="159676A3"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sz w:val="16"/>
                <w:szCs w:val="16"/>
              </w:rPr>
              <w:t>US FDA</w:t>
            </w:r>
          </w:p>
        </w:tc>
        <w:tc>
          <w:tcPr>
            <w:tcW w:w="1701" w:type="dxa"/>
          </w:tcPr>
          <w:p w14:paraId="48521060"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Priority review (1992)</w:t>
            </w:r>
          </w:p>
        </w:tc>
        <w:tc>
          <w:tcPr>
            <w:tcW w:w="3685" w:type="dxa"/>
          </w:tcPr>
          <w:p w14:paraId="0F4AFF74" w14:textId="2A7DBA8B"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Review decision within 6 months</w:t>
            </w:r>
            <w:r w:rsidRPr="00BD3CA3">
              <w:rPr>
                <w:rFonts w:asciiTheme="minorHAnsi" w:hAnsiTheme="minorHAnsi" w:cs="Times New Roman"/>
                <w:color w:val="000000"/>
                <w:sz w:val="16"/>
                <w:szCs w:val="16"/>
              </w:rPr>
              <w:br/>
              <w:t xml:space="preserve">$2.7million FDA user fee + $2.4 million usual user fee </w:t>
            </w:r>
            <w:sdt>
              <w:sdtPr>
                <w:rPr>
                  <w:rFonts w:asciiTheme="minorHAnsi" w:hAnsiTheme="minorHAnsi" w:cs="Times New Roman"/>
                  <w:color w:val="000000"/>
                  <w:sz w:val="16"/>
                  <w:szCs w:val="16"/>
                </w:rPr>
                <w:tag w:val="MENDELEY_CITATION_v3_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"/>
                <w:id w:val="-771934926"/>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[1]</w:t>
                </w:r>
              </w:sdtContent>
            </w:sdt>
          </w:p>
        </w:tc>
        <w:tc>
          <w:tcPr>
            <w:tcW w:w="1039" w:type="dxa"/>
          </w:tcPr>
          <w:p w14:paraId="4B36D10B"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40" w:type="dxa"/>
          </w:tcPr>
          <w:p w14:paraId="10FE6CE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0BA4FF4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53E268C9"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700E71">
              <w:rPr>
                <w:rFonts w:asciiTheme="minorHAnsi" w:hAnsiTheme="minorHAnsi" w:cstheme="minorHAnsi"/>
                <w:sz w:val="16"/>
                <w:szCs w:val="16"/>
              </w:rPr>
              <w:t>√</w:t>
            </w:r>
          </w:p>
        </w:tc>
        <w:tc>
          <w:tcPr>
            <w:tcW w:w="1039" w:type="dxa"/>
          </w:tcPr>
          <w:p w14:paraId="2FDADBF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7A361AC6"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08AE2208"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 xml:space="preserve">Novartis: </w:t>
            </w:r>
            <w:proofErr w:type="gramStart"/>
            <w:r w:rsidRPr="00186336">
              <w:rPr>
                <w:rFonts w:asciiTheme="minorHAnsi" w:hAnsiTheme="minorHAnsi" w:cs="Times New Roman"/>
                <w:sz w:val="16"/>
                <w:szCs w:val="16"/>
              </w:rPr>
              <w:t>Kymriah;</w:t>
            </w:r>
            <w:proofErr w:type="gramEnd"/>
          </w:p>
          <w:p w14:paraId="1B5C4960"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sz w:val="16"/>
                <w:szCs w:val="16"/>
              </w:rPr>
              <w:t xml:space="preserve">Exelixis: </w:t>
            </w:r>
            <w:proofErr w:type="gramStart"/>
            <w:r w:rsidRPr="00186336">
              <w:rPr>
                <w:rFonts w:asciiTheme="minorHAnsi" w:hAnsiTheme="minorHAnsi" w:cs="Times New Roman"/>
                <w:sz w:val="16"/>
                <w:szCs w:val="16"/>
              </w:rPr>
              <w:t>Cabometyx;</w:t>
            </w:r>
            <w:proofErr w:type="gramEnd"/>
          </w:p>
          <w:p w14:paraId="3E77B1C1"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Eisai: Lenvatinib</w:t>
            </w:r>
          </w:p>
        </w:tc>
      </w:tr>
      <w:tr w:rsidR="00BD3CA3" w:rsidRPr="00186336" w14:paraId="29E2385F" w14:textId="77777777" w:rsidTr="008D6DD5">
        <w:tc>
          <w:tcPr>
            <w:tcW w:w="851" w:type="dxa"/>
            <w:vMerge/>
          </w:tcPr>
          <w:p w14:paraId="25D2A5D9"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1D3140FD"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Accelerated approval (1992)</w:t>
            </w:r>
          </w:p>
        </w:tc>
        <w:tc>
          <w:tcPr>
            <w:tcW w:w="3685" w:type="dxa"/>
          </w:tcPr>
          <w:p w14:paraId="0596E482" w14:textId="353B9C1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Approval based on effect on a predictive surrogate endpoint or an intermediate clinical endpoint </w:t>
            </w:r>
            <w:sdt>
              <w:sdtPr>
                <w:rPr>
                  <w:rFonts w:asciiTheme="minorHAnsi" w:hAnsiTheme="minorHAnsi" w:cs="Times New Roman"/>
                  <w:color w:val="000000"/>
                  <w:sz w:val="16"/>
                  <w:szCs w:val="16"/>
                </w:rPr>
                <w:tag w:val="MENDELEY_CITATION_v3_eyJjaXRhdGlvbklEIjoiTUVOREVMRVlfQ0lUQVRJT05fMmJjNmM4OWQtYjg4ZC00ZDhmLTllOTctZTlkOGZiMzUxNWE5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1194421301"/>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08C9045B"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371E1C">
              <w:rPr>
                <w:rFonts w:asciiTheme="minorHAnsi" w:hAnsiTheme="minorHAnsi" w:cstheme="minorHAnsi"/>
                <w:sz w:val="16"/>
                <w:szCs w:val="16"/>
              </w:rPr>
              <w:t>√</w:t>
            </w:r>
          </w:p>
        </w:tc>
        <w:tc>
          <w:tcPr>
            <w:tcW w:w="1040" w:type="dxa"/>
          </w:tcPr>
          <w:p w14:paraId="22B8C238"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24FFA9C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7F21CD93"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700E71">
              <w:rPr>
                <w:rFonts w:asciiTheme="minorHAnsi" w:hAnsiTheme="minorHAnsi" w:cstheme="minorHAnsi"/>
                <w:sz w:val="16"/>
                <w:szCs w:val="16"/>
              </w:rPr>
              <w:t>√</w:t>
            </w:r>
          </w:p>
        </w:tc>
        <w:tc>
          <w:tcPr>
            <w:tcW w:w="1039" w:type="dxa"/>
          </w:tcPr>
          <w:p w14:paraId="4ED871C5"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609165A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4F5EF18"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color w:val="000000"/>
                <w:sz w:val="16"/>
                <w:szCs w:val="16"/>
              </w:rPr>
              <w:t>Pfizer: bosutinib</w:t>
            </w:r>
          </w:p>
        </w:tc>
      </w:tr>
      <w:tr w:rsidR="00BD3CA3" w:rsidRPr="00186336" w14:paraId="331F65EC" w14:textId="77777777" w:rsidTr="008D6DD5">
        <w:tc>
          <w:tcPr>
            <w:tcW w:w="851" w:type="dxa"/>
            <w:vMerge/>
          </w:tcPr>
          <w:p w14:paraId="66996761"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261FF065"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Fast track (1998)</w:t>
            </w:r>
          </w:p>
        </w:tc>
        <w:tc>
          <w:tcPr>
            <w:tcW w:w="3685" w:type="dxa"/>
          </w:tcPr>
          <w:p w14:paraId="32562BB5" w14:textId="6FCC2BC4"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Option for rolling NDA/BLA submission </w:t>
            </w:r>
            <w:sdt>
              <w:sdtPr>
                <w:rPr>
                  <w:rFonts w:asciiTheme="minorHAnsi" w:hAnsiTheme="minorHAnsi" w:cs="Times New Roman"/>
                  <w:color w:val="000000"/>
                  <w:sz w:val="16"/>
                  <w:szCs w:val="16"/>
                </w:rPr>
                <w:tag w:val="MENDELEY_CITATION_v3_eyJjaXRhdGlvbklEIjoiTUVOREVMRVlfQ0lUQVRJT05fMWFjMmRjZjEtZGYzNS00ZjcxLTkwMTYtM2RjM2E0ZTQ0MjVj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1549793649"/>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2ED79081"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371E1C">
              <w:rPr>
                <w:rFonts w:asciiTheme="minorHAnsi" w:hAnsiTheme="minorHAnsi" w:cstheme="minorHAnsi"/>
                <w:sz w:val="16"/>
                <w:szCs w:val="16"/>
              </w:rPr>
              <w:t>√</w:t>
            </w:r>
          </w:p>
        </w:tc>
        <w:tc>
          <w:tcPr>
            <w:tcW w:w="1040" w:type="dxa"/>
          </w:tcPr>
          <w:p w14:paraId="1ECF5ED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1476E807"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40" w:type="dxa"/>
          </w:tcPr>
          <w:p w14:paraId="30B020A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6FE22EF0"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532F9FD4"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65135E8E"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color w:val="000000"/>
                <w:sz w:val="16"/>
                <w:szCs w:val="16"/>
              </w:rPr>
              <w:t>Renova: RT-100 AC6 gene transfer (Ad5.hAC6);</w:t>
            </w:r>
            <w:r w:rsidRPr="00186336">
              <w:rPr>
                <w:rFonts w:asciiTheme="minorHAnsi" w:hAnsiTheme="minorHAnsi" w:cs="Times New Roman"/>
                <w:color w:val="000000"/>
                <w:sz w:val="16"/>
                <w:szCs w:val="16"/>
              </w:rPr>
              <w:br/>
              <w:t>DNAtrix therapeutics: DNX-2401</w:t>
            </w:r>
          </w:p>
        </w:tc>
      </w:tr>
      <w:tr w:rsidR="00BD3CA3" w:rsidRPr="00186336" w14:paraId="5DC33D4E" w14:textId="77777777" w:rsidTr="008D6DD5">
        <w:tc>
          <w:tcPr>
            <w:tcW w:w="851" w:type="dxa"/>
            <w:vMerge/>
          </w:tcPr>
          <w:p w14:paraId="5695DDA2"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4E6473F5"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Breakthrough therapy (2012)</w:t>
            </w:r>
          </w:p>
        </w:tc>
        <w:tc>
          <w:tcPr>
            <w:tcW w:w="3685" w:type="dxa"/>
          </w:tcPr>
          <w:p w14:paraId="7EC14B40" w14:textId="7D5281BB"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NDA/BLA data submitted as they are accumulated (rolling review); Most reviewed in 60 days or less, limited types of submissions require 90 days (FDA) </w:t>
            </w:r>
            <w:sdt>
              <w:sdtPr>
                <w:rPr>
                  <w:rFonts w:asciiTheme="minorHAnsi" w:hAnsiTheme="minorHAnsi" w:cs="Times New Roman"/>
                  <w:color w:val="000000"/>
                  <w:sz w:val="16"/>
                  <w:szCs w:val="16"/>
                </w:rPr>
                <w:tag w:val="MENDELEY_CITATION_v3_eyJjaXRhdGlvbklEIjoiTUVOREVMRVlfQ0lUQVRJT05fMzJmNTk4Y2YtYWVhMC00ZTIzLTgwYWEtMTBiMjMyM2MyYjZj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632091838"/>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5870E0DE"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371E1C">
              <w:rPr>
                <w:rFonts w:asciiTheme="minorHAnsi" w:hAnsiTheme="minorHAnsi" w:cstheme="minorHAnsi"/>
                <w:sz w:val="16"/>
                <w:szCs w:val="16"/>
              </w:rPr>
              <w:t>√</w:t>
            </w:r>
          </w:p>
        </w:tc>
        <w:tc>
          <w:tcPr>
            <w:tcW w:w="1040" w:type="dxa"/>
          </w:tcPr>
          <w:p w14:paraId="7D6F7FF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398DD07F"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10846BFC"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39" w:type="dxa"/>
          </w:tcPr>
          <w:p w14:paraId="432F5FD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0B7C84E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303B543"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Juno &amp; Celgene: JCAR017</w:t>
            </w:r>
          </w:p>
          <w:p w14:paraId="004DA449"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Adaptimmune &amp; GSK: NY-ESO-1c259T</w:t>
            </w:r>
          </w:p>
          <w:p w14:paraId="3DA428EF"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Bluebird &amp; Celgene: bb2121</w:t>
            </w:r>
          </w:p>
        </w:tc>
      </w:tr>
      <w:tr w:rsidR="00BD3CA3" w:rsidRPr="00186336" w14:paraId="79618336" w14:textId="77777777" w:rsidTr="008D6DD5">
        <w:tc>
          <w:tcPr>
            <w:tcW w:w="851" w:type="dxa"/>
            <w:vMerge/>
          </w:tcPr>
          <w:p w14:paraId="2613B174"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5C8B79FE"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Expedited access pathway (2015)</w:t>
            </w:r>
          </w:p>
        </w:tc>
        <w:tc>
          <w:tcPr>
            <w:tcW w:w="3685" w:type="dxa"/>
          </w:tcPr>
          <w:p w14:paraId="6DD3F0B8" w14:textId="2F6479B1" w:rsidR="00BD3CA3" w:rsidRPr="00BD3CA3" w:rsidRDefault="00BD3CA3" w:rsidP="003838B7">
            <w:pPr>
              <w:spacing w:line="360" w:lineRule="auto"/>
              <w:ind w:left="-112" w:right="-11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 xml:space="preserve">For de novo requests, determination in less than 120 days; Reduces premarket data requirements </w:t>
            </w:r>
            <w:sdt>
              <w:sdtPr>
                <w:rPr>
                  <w:rFonts w:asciiTheme="minorHAnsi" w:hAnsiTheme="minorHAnsi" w:cs="Times New Roman"/>
                  <w:color w:val="000000"/>
                  <w:sz w:val="16"/>
                  <w:szCs w:val="16"/>
                </w:rPr>
                <w:tag w:val="MENDELEY_CITATION_v3_eyJjaXRhdGlvbklEIjoiTUVOREVMRVlfQ0lUQVRJT05fOWZkNDdkODctOTNiMy00MTE1LWFlNzctNzgzZGM1N2RlZTM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1414460763"/>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76C6AED0"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371E1C">
              <w:rPr>
                <w:rFonts w:asciiTheme="minorHAnsi" w:hAnsiTheme="minorHAnsi" w:cstheme="minorHAnsi"/>
                <w:sz w:val="16"/>
                <w:szCs w:val="16"/>
              </w:rPr>
              <w:t>√</w:t>
            </w:r>
          </w:p>
        </w:tc>
        <w:tc>
          <w:tcPr>
            <w:tcW w:w="1040" w:type="dxa"/>
          </w:tcPr>
          <w:p w14:paraId="3F2D5806"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4996BEC3"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40" w:type="dxa"/>
          </w:tcPr>
          <w:p w14:paraId="37211DD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0C82F3F6"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16D5EDF3"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281644FE"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Avita: Recell</w:t>
            </w:r>
          </w:p>
        </w:tc>
      </w:tr>
      <w:tr w:rsidR="00BD3CA3" w:rsidRPr="00186336" w14:paraId="60044A2D" w14:textId="77777777" w:rsidTr="008D6DD5">
        <w:tc>
          <w:tcPr>
            <w:tcW w:w="851" w:type="dxa"/>
            <w:vMerge/>
          </w:tcPr>
          <w:p w14:paraId="2CF39EA3"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19199BF9"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Orphan drug designation (1983)</w:t>
            </w:r>
          </w:p>
        </w:tc>
        <w:tc>
          <w:tcPr>
            <w:tcW w:w="3685" w:type="dxa"/>
          </w:tcPr>
          <w:p w14:paraId="0681613F" w14:textId="4E34D27B"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Approval in 6 months </w:t>
            </w:r>
            <w:sdt>
              <w:sdtPr>
                <w:rPr>
                  <w:rFonts w:asciiTheme="minorHAnsi" w:hAnsiTheme="minorHAnsi" w:cs="Times New Roman"/>
                  <w:color w:val="000000"/>
                  <w:sz w:val="16"/>
                  <w:szCs w:val="16"/>
                </w:rPr>
                <w:tag w:val="MENDELEY_CITATION_v3_eyJjaXRhdGlvbklEIjoiTUVOREVMRVlfQ0lUQVRJT05fZjZjODY3MmUtYWU5Zi00Y2U3LWFjMmUtMDE5YjdkMTQ2MjE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222021978"/>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2C7C73CC" w14:textId="77777777" w:rsidR="00BD3CA3" w:rsidRPr="00C904BC" w:rsidRDefault="00BD3CA3" w:rsidP="003838B7">
            <w:pPr>
              <w:spacing w:line="360" w:lineRule="auto"/>
              <w:ind w:left="-101" w:right="-63"/>
              <w:jc w:val="center"/>
              <w:rPr>
                <w:rFonts w:asciiTheme="minorHAnsi" w:hAnsiTheme="minorHAnsi" w:cs="Times New Roman"/>
                <w:sz w:val="16"/>
                <w:szCs w:val="16"/>
              </w:rPr>
            </w:pPr>
          </w:p>
        </w:tc>
        <w:tc>
          <w:tcPr>
            <w:tcW w:w="1040" w:type="dxa"/>
          </w:tcPr>
          <w:p w14:paraId="3D731EA5"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5249B6">
              <w:rPr>
                <w:rFonts w:asciiTheme="minorHAnsi" w:hAnsiTheme="minorHAnsi" w:cstheme="minorHAnsi"/>
                <w:sz w:val="16"/>
                <w:szCs w:val="16"/>
              </w:rPr>
              <w:t>√</w:t>
            </w:r>
          </w:p>
        </w:tc>
        <w:tc>
          <w:tcPr>
            <w:tcW w:w="1039" w:type="dxa"/>
          </w:tcPr>
          <w:p w14:paraId="046B6900"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27A7DC4D"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6DBB2B65"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407CAF16"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0A55C054"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Atara Bio: ATA129</w:t>
            </w:r>
          </w:p>
          <w:p w14:paraId="16C0081F"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Astellas Pharmaceuticals: ASP2215</w:t>
            </w:r>
          </w:p>
        </w:tc>
      </w:tr>
      <w:tr w:rsidR="00BD3CA3" w:rsidRPr="00186336" w14:paraId="6BEDDAAA" w14:textId="77777777" w:rsidTr="008D6DD5">
        <w:tc>
          <w:tcPr>
            <w:tcW w:w="851" w:type="dxa"/>
            <w:vMerge/>
          </w:tcPr>
          <w:p w14:paraId="1F9E940A"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21A2087E"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Rare Pediatric Disease Priority Review (2014)</w:t>
            </w:r>
          </w:p>
        </w:tc>
        <w:tc>
          <w:tcPr>
            <w:tcW w:w="3685" w:type="dxa"/>
          </w:tcPr>
          <w:p w14:paraId="602CA0D7" w14:textId="3D575CC0"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Sponsor who receives an approval for a drug or biologic for a "rare pediatric disease" may qualify for a voucher that can be redeemed to receive a priority review of a subsequent marketing application for a different product. </w:t>
            </w:r>
            <w:sdt>
              <w:sdtPr>
                <w:rPr>
                  <w:rFonts w:asciiTheme="minorHAnsi" w:hAnsiTheme="minorHAnsi" w:cs="Times New Roman"/>
                  <w:color w:val="000000"/>
                  <w:sz w:val="16"/>
                  <w:szCs w:val="16"/>
                </w:rPr>
                <w:tag w:val="MENDELEY_CITATION_v3_eyJjaXRhdGlvbklEIjoiTUVOREVMRVlfQ0lUQVRJT05fYjIxY2YxYjItZGJlMC00NTg0LWExNDYtYWEzZTlhYjk5ZDM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541442021"/>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2B23347E"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E66C6C">
              <w:rPr>
                <w:rFonts w:asciiTheme="minorHAnsi" w:hAnsiTheme="minorHAnsi" w:cstheme="minorHAnsi"/>
                <w:sz w:val="16"/>
                <w:szCs w:val="16"/>
              </w:rPr>
              <w:t>√</w:t>
            </w:r>
          </w:p>
        </w:tc>
        <w:tc>
          <w:tcPr>
            <w:tcW w:w="1040" w:type="dxa"/>
          </w:tcPr>
          <w:p w14:paraId="00A19E31"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5249B6">
              <w:rPr>
                <w:rFonts w:asciiTheme="minorHAnsi" w:hAnsiTheme="minorHAnsi" w:cstheme="minorHAnsi"/>
                <w:sz w:val="16"/>
                <w:szCs w:val="16"/>
              </w:rPr>
              <w:t>√</w:t>
            </w:r>
          </w:p>
        </w:tc>
        <w:tc>
          <w:tcPr>
            <w:tcW w:w="1039" w:type="dxa"/>
          </w:tcPr>
          <w:p w14:paraId="533E7E2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1F7AEC3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49C5194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29679914"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06685768"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Enzyvant: RVT-802</w:t>
            </w:r>
          </w:p>
        </w:tc>
      </w:tr>
      <w:tr w:rsidR="00BD3CA3" w:rsidRPr="00186336" w14:paraId="21BF9999" w14:textId="77777777" w:rsidTr="008D6DD5">
        <w:tc>
          <w:tcPr>
            <w:tcW w:w="851" w:type="dxa"/>
            <w:vMerge/>
          </w:tcPr>
          <w:p w14:paraId="1EEA9A34"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292A8CD7" w14:textId="77777777"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RMAT designation (2017)</w:t>
            </w:r>
          </w:p>
        </w:tc>
        <w:tc>
          <w:tcPr>
            <w:tcW w:w="3685" w:type="dxa"/>
          </w:tcPr>
          <w:p w14:paraId="6069E6AD" w14:textId="43082315"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Increased meeting opportunities with FDA (like Breakthrough therapy); Priority review (initial assessment of the BLA reduced from 10 months to 6 months) </w:t>
            </w:r>
            <w:sdt>
              <w:sdtPr>
                <w:rPr>
                  <w:rFonts w:asciiTheme="minorHAnsi" w:hAnsiTheme="minorHAnsi" w:cs="Times New Roman"/>
                  <w:color w:val="000000"/>
                  <w:sz w:val="16"/>
                  <w:szCs w:val="16"/>
                </w:rPr>
                <w:tag w:val="MENDELEY_CITATION_v3_eyJjaXRhdGlvbklEIjoiTUVOREVMRVlfQ0lUQVRJT05fZjAwMGQ5ZmEtZWYwYy00Y2UyLTliODMtOThjMmQyMTQyN2Fi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
                <w:id w:val="-1688601252"/>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[2]</w:t>
                </w:r>
              </w:sdtContent>
            </w:sdt>
          </w:p>
        </w:tc>
        <w:tc>
          <w:tcPr>
            <w:tcW w:w="1039" w:type="dxa"/>
          </w:tcPr>
          <w:p w14:paraId="59C35B21"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E66C6C">
              <w:rPr>
                <w:rFonts w:asciiTheme="minorHAnsi" w:hAnsiTheme="minorHAnsi" w:cstheme="minorHAnsi"/>
                <w:sz w:val="16"/>
                <w:szCs w:val="16"/>
              </w:rPr>
              <w:t>√</w:t>
            </w:r>
          </w:p>
        </w:tc>
        <w:tc>
          <w:tcPr>
            <w:tcW w:w="1040" w:type="dxa"/>
          </w:tcPr>
          <w:p w14:paraId="368BEA7D"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30AF8DA9"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D307F">
              <w:rPr>
                <w:rFonts w:asciiTheme="minorHAnsi" w:hAnsiTheme="minorHAnsi" w:cstheme="minorHAnsi"/>
                <w:sz w:val="16"/>
                <w:szCs w:val="16"/>
              </w:rPr>
              <w:t>√</w:t>
            </w:r>
          </w:p>
        </w:tc>
        <w:tc>
          <w:tcPr>
            <w:tcW w:w="1040" w:type="dxa"/>
          </w:tcPr>
          <w:p w14:paraId="59DA547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27E79C1F"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7B5D15E5"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704" w:type="dxa"/>
          </w:tcPr>
          <w:p w14:paraId="3D1DDAB8"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 xml:space="preserve">Kiadis Pharma: </w:t>
            </w:r>
            <w:proofErr w:type="gramStart"/>
            <w:r w:rsidRPr="00186336">
              <w:rPr>
                <w:rFonts w:asciiTheme="minorHAnsi" w:hAnsiTheme="minorHAnsi" w:cs="Times New Roman"/>
                <w:sz w:val="16"/>
                <w:szCs w:val="16"/>
              </w:rPr>
              <w:t>ATIR101;</w:t>
            </w:r>
            <w:proofErr w:type="gramEnd"/>
          </w:p>
          <w:p w14:paraId="3D5C874E"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Asteria: AST-OPC1</w:t>
            </w:r>
          </w:p>
        </w:tc>
      </w:tr>
      <w:tr w:rsidR="00BD3CA3" w:rsidRPr="00186336" w14:paraId="236EE7E2" w14:textId="77777777" w:rsidTr="008D6DD5">
        <w:tc>
          <w:tcPr>
            <w:tcW w:w="851" w:type="dxa"/>
            <w:vMerge w:val="restart"/>
          </w:tcPr>
          <w:p w14:paraId="4E744964"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sz w:val="16"/>
                <w:szCs w:val="16"/>
              </w:rPr>
              <w:t>EU EMA</w:t>
            </w:r>
          </w:p>
        </w:tc>
        <w:tc>
          <w:tcPr>
            <w:tcW w:w="1701" w:type="dxa"/>
          </w:tcPr>
          <w:p w14:paraId="5E304DC1" w14:textId="227F6B82"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Accelerated assessment (2004) </w:t>
            </w:r>
            <w:sdt>
              <w:sdtPr>
                <w:rPr>
                  <w:rFonts w:asciiTheme="minorHAnsi" w:hAnsiTheme="minorHAnsi" w:cs="Times New Roman"/>
                  <w:color w:val="000000"/>
                  <w:sz w:val="16"/>
                  <w:szCs w:val="16"/>
                </w:rPr>
                <w:tag w:val="MENDELEY_CITATION_v3_eyJjaXRhdGlvbklEIjoiTUVOREVMRVlfQ0lUQVRJT05fOTNjN2JlYjgtMDk4Mi00NDgxLWI2N2MtNTViZTc5ODc4NTYx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503251506"/>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7E23C970"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Reduce review timeframe from 210 days to up to 150 days</w:t>
            </w:r>
          </w:p>
        </w:tc>
        <w:tc>
          <w:tcPr>
            <w:tcW w:w="1039" w:type="dxa"/>
          </w:tcPr>
          <w:p w14:paraId="3DF3D635"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4E6D874B"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5AEC327E"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D307F">
              <w:rPr>
                <w:rFonts w:asciiTheme="minorHAnsi" w:hAnsiTheme="minorHAnsi" w:cstheme="minorHAnsi"/>
                <w:sz w:val="16"/>
                <w:szCs w:val="16"/>
              </w:rPr>
              <w:t>√</w:t>
            </w:r>
          </w:p>
        </w:tc>
        <w:tc>
          <w:tcPr>
            <w:tcW w:w="1040" w:type="dxa"/>
          </w:tcPr>
          <w:p w14:paraId="3259FB58"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410C2434"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09D5B270"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662B3A78"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Alynylam Pharmaceuticals: patisiran</w:t>
            </w:r>
          </w:p>
        </w:tc>
      </w:tr>
      <w:tr w:rsidR="00BD3CA3" w:rsidRPr="00186336" w14:paraId="46C92278" w14:textId="77777777" w:rsidTr="008D6DD5">
        <w:tc>
          <w:tcPr>
            <w:tcW w:w="851" w:type="dxa"/>
            <w:vMerge/>
          </w:tcPr>
          <w:p w14:paraId="70C29E38"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753CB15E" w14:textId="7B1C316A"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Orphan drug designation (2000) </w:t>
            </w:r>
            <w:sdt>
              <w:sdtPr>
                <w:rPr>
                  <w:rFonts w:asciiTheme="minorHAnsi" w:hAnsiTheme="minorHAnsi" w:cs="Times New Roman"/>
                  <w:color w:val="000000"/>
                  <w:sz w:val="16"/>
                  <w:szCs w:val="16"/>
                </w:rPr>
                <w:tag w:val="MENDELEY_CITATION_v3_eyJjaXRhdGlvbklEIjoiTUVOREVMRVlfQ0lUQVRJT05fMzZkZDE4YWEtNGRiZi00MWNlLWJjMjUtOTgwZmYwOTVlNzAy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1349098746"/>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346D5A10"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Fee reduction; Eligible for conditional marketing authorisation; </w:t>
            </w:r>
            <w:proofErr w:type="gramStart"/>
            <w:r w:rsidRPr="00BD3CA3">
              <w:rPr>
                <w:rFonts w:asciiTheme="minorHAnsi" w:hAnsiTheme="minorHAnsi" w:cs="Times New Roman"/>
                <w:color w:val="000000"/>
                <w:sz w:val="16"/>
                <w:szCs w:val="16"/>
              </w:rPr>
              <w:t>10 year</w:t>
            </w:r>
            <w:proofErr w:type="gramEnd"/>
            <w:r w:rsidRPr="00BD3CA3">
              <w:rPr>
                <w:rFonts w:asciiTheme="minorHAnsi" w:hAnsiTheme="minorHAnsi" w:cs="Times New Roman"/>
                <w:color w:val="000000"/>
                <w:sz w:val="16"/>
                <w:szCs w:val="16"/>
              </w:rPr>
              <w:t xml:space="preserve"> market exclusivity</w:t>
            </w:r>
          </w:p>
        </w:tc>
        <w:tc>
          <w:tcPr>
            <w:tcW w:w="1039" w:type="dxa"/>
          </w:tcPr>
          <w:p w14:paraId="6224D57A"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40" w:type="dxa"/>
          </w:tcPr>
          <w:p w14:paraId="3A1E95F8"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E5AD3">
              <w:rPr>
                <w:rFonts w:asciiTheme="minorHAnsi" w:hAnsiTheme="minorHAnsi" w:cstheme="minorHAnsi"/>
                <w:sz w:val="16"/>
                <w:szCs w:val="16"/>
              </w:rPr>
              <w:t>√</w:t>
            </w:r>
          </w:p>
        </w:tc>
        <w:tc>
          <w:tcPr>
            <w:tcW w:w="1039" w:type="dxa"/>
          </w:tcPr>
          <w:p w14:paraId="426C0D1B"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463F9F9F"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11DB764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2B560BC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1F0F177B"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Edison Pharmaceuticals: EPI-743</w:t>
            </w:r>
          </w:p>
          <w:p w14:paraId="21048E05"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Astellas Pharmaceuticals: ASP2215</w:t>
            </w:r>
          </w:p>
        </w:tc>
      </w:tr>
      <w:tr w:rsidR="00BD3CA3" w:rsidRPr="00186336" w14:paraId="5099C6CB" w14:textId="77777777" w:rsidTr="008D6DD5">
        <w:tc>
          <w:tcPr>
            <w:tcW w:w="851" w:type="dxa"/>
            <w:vMerge/>
          </w:tcPr>
          <w:p w14:paraId="2D3C2877"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77E93305" w14:textId="1D49BFAE"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Marketing authorization under exceptional circumstances (2005) </w:t>
            </w:r>
            <w:sdt>
              <w:sdtPr>
                <w:rPr>
                  <w:rFonts w:asciiTheme="minorHAnsi" w:hAnsiTheme="minorHAnsi" w:cs="Times New Roman"/>
                  <w:color w:val="000000"/>
                  <w:sz w:val="16"/>
                  <w:szCs w:val="16"/>
                </w:rPr>
                <w:tag w:val="MENDELEY_CITATION_v3_eyJjaXRhdGlvbklEIjoiTUVOREVMRVlfQ0lUQVRJT05fOGRiNDdiM2MtOWNiMi00N2E1LWE5YjAtMDhmZTg0NzYzYmM3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947306893"/>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48574632"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Authorization without comprehensive data on efficacy and safety</w:t>
            </w:r>
          </w:p>
        </w:tc>
        <w:tc>
          <w:tcPr>
            <w:tcW w:w="1039" w:type="dxa"/>
          </w:tcPr>
          <w:p w14:paraId="572CBDE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6A7E7400"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E5AD3">
              <w:rPr>
                <w:rFonts w:asciiTheme="minorHAnsi" w:hAnsiTheme="minorHAnsi" w:cstheme="minorHAnsi"/>
                <w:sz w:val="16"/>
                <w:szCs w:val="16"/>
              </w:rPr>
              <w:t>√</w:t>
            </w:r>
          </w:p>
        </w:tc>
        <w:tc>
          <w:tcPr>
            <w:tcW w:w="1039" w:type="dxa"/>
          </w:tcPr>
          <w:p w14:paraId="10351478"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5F5F0BB8"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5C5180A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3DC1C60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DD71DA9" w14:textId="77777777" w:rsidR="00BD3CA3" w:rsidRPr="00186336" w:rsidRDefault="00BD3CA3" w:rsidP="003838B7">
            <w:pPr>
              <w:spacing w:line="360" w:lineRule="auto"/>
              <w:ind w:left="-105" w:right="-106"/>
              <w:jc w:val="center"/>
              <w:rPr>
                <w:rFonts w:asciiTheme="minorHAnsi" w:hAnsiTheme="minorHAnsi" w:cs="Times New Roman"/>
                <w:sz w:val="16"/>
                <w:szCs w:val="16"/>
              </w:rPr>
            </w:pPr>
          </w:p>
        </w:tc>
      </w:tr>
      <w:tr w:rsidR="00BD3CA3" w:rsidRPr="00186336" w14:paraId="6A138915" w14:textId="77777777" w:rsidTr="008D6DD5">
        <w:tc>
          <w:tcPr>
            <w:tcW w:w="851" w:type="dxa"/>
            <w:vMerge/>
          </w:tcPr>
          <w:p w14:paraId="366C30E3"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6F9C57D1" w14:textId="059CDD92"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Conditional marketing authorization (2006) </w:t>
            </w:r>
            <w:sdt>
              <w:sdtPr>
                <w:rPr>
                  <w:rFonts w:asciiTheme="minorHAnsi" w:hAnsiTheme="minorHAnsi" w:cs="Times New Roman"/>
                  <w:color w:val="000000"/>
                  <w:sz w:val="16"/>
                  <w:szCs w:val="16"/>
                </w:rPr>
                <w:tag w:val="MENDELEY_CITATION_v3_eyJjaXRhdGlvbklEIjoiTUVOREVMRVlfQ0lUQVRJT05fNGJkYjE0M2MtM2I4NS00ZWZiLWJiOTUtOTQ5ZjNhMmM2NDk2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24680307"/>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5BE1E795"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Earlier authorization based on less complete clinical data</w:t>
            </w:r>
          </w:p>
        </w:tc>
        <w:tc>
          <w:tcPr>
            <w:tcW w:w="1039" w:type="dxa"/>
          </w:tcPr>
          <w:p w14:paraId="047E264F"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40" w:type="dxa"/>
          </w:tcPr>
          <w:p w14:paraId="76905CBE"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E5AD3">
              <w:rPr>
                <w:rFonts w:asciiTheme="minorHAnsi" w:hAnsiTheme="minorHAnsi" w:cstheme="minorHAnsi"/>
                <w:sz w:val="16"/>
                <w:szCs w:val="16"/>
              </w:rPr>
              <w:t>√</w:t>
            </w:r>
          </w:p>
        </w:tc>
        <w:tc>
          <w:tcPr>
            <w:tcW w:w="1039" w:type="dxa"/>
          </w:tcPr>
          <w:p w14:paraId="1B42E022"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253575">
              <w:rPr>
                <w:rFonts w:asciiTheme="minorHAnsi" w:hAnsiTheme="minorHAnsi" w:cstheme="minorHAnsi"/>
                <w:sz w:val="16"/>
                <w:szCs w:val="16"/>
              </w:rPr>
              <w:t>√</w:t>
            </w:r>
          </w:p>
        </w:tc>
        <w:tc>
          <w:tcPr>
            <w:tcW w:w="1040" w:type="dxa"/>
          </w:tcPr>
          <w:p w14:paraId="6F9D3C9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7E2B18B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566021F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104A3FA" w14:textId="77777777" w:rsidR="00BD3CA3" w:rsidRPr="00186336" w:rsidRDefault="00BD3CA3" w:rsidP="003838B7">
            <w:pPr>
              <w:spacing w:line="360" w:lineRule="auto"/>
              <w:ind w:left="-105" w:right="-106"/>
              <w:jc w:val="center"/>
              <w:rPr>
                <w:rFonts w:asciiTheme="minorHAnsi" w:hAnsiTheme="minorHAnsi" w:cs="Times New Roman"/>
                <w:sz w:val="16"/>
                <w:szCs w:val="16"/>
              </w:rPr>
            </w:pPr>
          </w:p>
        </w:tc>
      </w:tr>
      <w:tr w:rsidR="00BD3CA3" w:rsidRPr="00186336" w14:paraId="1CD832CF" w14:textId="77777777" w:rsidTr="008D6DD5">
        <w:tc>
          <w:tcPr>
            <w:tcW w:w="851" w:type="dxa"/>
            <w:vMerge/>
          </w:tcPr>
          <w:p w14:paraId="0A7ECD9D"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3DA2B17D" w14:textId="0B91C7D2"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 xml:space="preserve">Adaptive pathway (2015) </w:t>
            </w:r>
            <w:sdt>
              <w:sdtPr>
                <w:rPr>
                  <w:rFonts w:asciiTheme="minorHAnsi" w:hAnsiTheme="minorHAnsi" w:cs="Times New Roman"/>
                  <w:color w:val="000000"/>
                  <w:sz w:val="16"/>
                  <w:szCs w:val="16"/>
                </w:rPr>
                <w:tag w:val="MENDELEY_CITATION_v3_eyJjaXRhdGlvbklEIjoiTUVOREVMRVlfQ0lUQVRJT05fYzk5MDMxNzItOWEzMy00ZjMyLWIyMDYtNTQ1NTk2NmQ1ZDY0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881906997"/>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257FDDC1"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Scientific advice by authority, compassionate use, conditional approval mechanism</w:t>
            </w:r>
          </w:p>
        </w:tc>
        <w:tc>
          <w:tcPr>
            <w:tcW w:w="1039" w:type="dxa"/>
          </w:tcPr>
          <w:p w14:paraId="356B0AAF"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66859FAF"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BE5AD3">
              <w:rPr>
                <w:rFonts w:asciiTheme="minorHAnsi" w:hAnsiTheme="minorHAnsi" w:cstheme="minorHAnsi"/>
                <w:sz w:val="16"/>
                <w:szCs w:val="16"/>
              </w:rPr>
              <w:t>√</w:t>
            </w:r>
          </w:p>
        </w:tc>
        <w:tc>
          <w:tcPr>
            <w:tcW w:w="1039" w:type="dxa"/>
          </w:tcPr>
          <w:p w14:paraId="2F4BDAAF"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253575">
              <w:rPr>
                <w:rFonts w:asciiTheme="minorHAnsi" w:hAnsiTheme="minorHAnsi" w:cstheme="minorHAnsi"/>
                <w:sz w:val="16"/>
                <w:szCs w:val="16"/>
              </w:rPr>
              <w:t>√</w:t>
            </w:r>
          </w:p>
        </w:tc>
        <w:tc>
          <w:tcPr>
            <w:tcW w:w="1040" w:type="dxa"/>
          </w:tcPr>
          <w:p w14:paraId="0C114AD0"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0E6FBBDF"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6F87173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2C92F545"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Atara Bio: ATA129</w:t>
            </w:r>
          </w:p>
        </w:tc>
      </w:tr>
      <w:tr w:rsidR="00BD3CA3" w:rsidRPr="00186336" w14:paraId="74BB0754" w14:textId="77777777" w:rsidTr="008D6DD5">
        <w:tc>
          <w:tcPr>
            <w:tcW w:w="851" w:type="dxa"/>
            <w:vMerge/>
          </w:tcPr>
          <w:p w14:paraId="2D21E167"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07D0FAB9" w14:textId="1EC2D61B" w:rsidR="00BD3CA3" w:rsidRPr="00BD3CA3" w:rsidRDefault="00BD3CA3" w:rsidP="003838B7">
            <w:pPr>
              <w:spacing w:line="360" w:lineRule="auto"/>
              <w:ind w:left="-109" w:right="-103"/>
              <w:jc w:val="center"/>
              <w:rPr>
                <w:rFonts w:asciiTheme="minorHAnsi" w:hAnsiTheme="minorHAnsi" w:cs="Times New Roman"/>
                <w:sz w:val="16"/>
                <w:szCs w:val="16"/>
              </w:rPr>
            </w:pPr>
            <w:r w:rsidRPr="00BD3CA3">
              <w:rPr>
                <w:rFonts w:asciiTheme="minorHAnsi" w:hAnsiTheme="minorHAnsi" w:cs="Times New Roman"/>
                <w:color w:val="000000"/>
                <w:sz w:val="16"/>
                <w:szCs w:val="16"/>
              </w:rPr>
              <w:t>PRIME(2016)</w:t>
            </w:r>
            <w:sdt>
              <w:sdtPr>
                <w:rPr>
                  <w:rFonts w:asciiTheme="minorHAnsi" w:hAnsiTheme="minorHAnsi" w:cs="Times New Roman"/>
                  <w:color w:val="000000"/>
                  <w:sz w:val="16"/>
                  <w:szCs w:val="16"/>
                </w:rPr>
                <w:tag w:val="MENDELEY_CITATION_v3_eyJjaXRhdGlvbklEIjoiTUVOREVMRVlfQ0lUQVRJT05fMjE4MTVmMjUtMzBmZC00NjdkLTk1MTAtMjM3NDY3YWY2MzBm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
                <w:id w:val="-1400277084"/>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[3]</w:t>
                </w:r>
              </w:sdtContent>
            </w:sdt>
          </w:p>
        </w:tc>
        <w:tc>
          <w:tcPr>
            <w:tcW w:w="3685" w:type="dxa"/>
          </w:tcPr>
          <w:p w14:paraId="772F3790" w14:textId="77777777" w:rsidR="00BD3CA3" w:rsidRPr="00BD3CA3" w:rsidRDefault="00BD3CA3" w:rsidP="003838B7">
            <w:pPr>
              <w:spacing w:line="360" w:lineRule="auto"/>
              <w:ind w:left="-112" w:right="-113"/>
              <w:jc w:val="center"/>
              <w:rPr>
                <w:rFonts w:asciiTheme="minorHAnsi" w:hAnsiTheme="minorHAnsi" w:cs="Times New Roman"/>
                <w:sz w:val="16"/>
                <w:szCs w:val="16"/>
              </w:rPr>
            </w:pPr>
            <w:r w:rsidRPr="00BD3CA3">
              <w:rPr>
                <w:rFonts w:asciiTheme="minorHAnsi" w:hAnsiTheme="minorHAnsi" w:cs="Times New Roman"/>
                <w:color w:val="000000"/>
                <w:sz w:val="16"/>
                <w:szCs w:val="16"/>
              </w:rPr>
              <w:t>Identify potential for accelerated assessment earlier in development; More scientific advice and support; Early rapporteur appointment; Dedicated contact person within EMA.</w:t>
            </w:r>
          </w:p>
        </w:tc>
        <w:tc>
          <w:tcPr>
            <w:tcW w:w="1039" w:type="dxa"/>
          </w:tcPr>
          <w:p w14:paraId="69737D88"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40" w:type="dxa"/>
          </w:tcPr>
          <w:p w14:paraId="0EA3ABBE"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380049A0" w14:textId="77777777" w:rsidR="00BD3CA3" w:rsidRPr="00186336" w:rsidRDefault="00BD3CA3" w:rsidP="003838B7">
            <w:pPr>
              <w:spacing w:line="360" w:lineRule="auto"/>
              <w:ind w:left="-101" w:right="-63"/>
              <w:jc w:val="center"/>
              <w:rPr>
                <w:rFonts w:asciiTheme="minorHAnsi" w:hAnsiTheme="minorHAnsi" w:cs="Times New Roman"/>
                <w:sz w:val="16"/>
                <w:szCs w:val="16"/>
              </w:rPr>
            </w:pPr>
            <w:r w:rsidRPr="00253575">
              <w:rPr>
                <w:rFonts w:asciiTheme="minorHAnsi" w:hAnsiTheme="minorHAnsi" w:cstheme="minorHAnsi"/>
                <w:sz w:val="16"/>
                <w:szCs w:val="16"/>
              </w:rPr>
              <w:t>√</w:t>
            </w:r>
          </w:p>
        </w:tc>
        <w:tc>
          <w:tcPr>
            <w:tcW w:w="1040" w:type="dxa"/>
          </w:tcPr>
          <w:p w14:paraId="7E15626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156CFD1C"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1136E009"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013D69FA"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Juno &amp; Celgene: JCAR017</w:t>
            </w:r>
          </w:p>
          <w:p w14:paraId="2C1751D8"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Adaptimmune &amp; GSK: NY-ESO-1c259T</w:t>
            </w:r>
          </w:p>
          <w:p w14:paraId="15ABA3E3"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sz w:val="16"/>
                <w:szCs w:val="16"/>
              </w:rPr>
              <w:t>Bluebird &amp; Celgene: bb2121</w:t>
            </w:r>
          </w:p>
        </w:tc>
      </w:tr>
      <w:tr w:rsidR="00BD3CA3" w:rsidRPr="00186336" w14:paraId="61F67681" w14:textId="77777777" w:rsidTr="008D6DD5">
        <w:tc>
          <w:tcPr>
            <w:tcW w:w="851" w:type="dxa"/>
            <w:vMerge w:val="restart"/>
          </w:tcPr>
          <w:p w14:paraId="46150B21"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color w:val="000000"/>
                <w:sz w:val="16"/>
                <w:szCs w:val="16"/>
              </w:rPr>
              <w:t>Japan PDMA</w:t>
            </w:r>
          </w:p>
        </w:tc>
        <w:tc>
          <w:tcPr>
            <w:tcW w:w="1701" w:type="dxa"/>
          </w:tcPr>
          <w:p w14:paraId="3058B88C" w14:textId="382F18DD" w:rsidR="00BD3CA3" w:rsidRPr="00BD3CA3" w:rsidRDefault="00BD3CA3" w:rsidP="003838B7">
            <w:pPr>
              <w:spacing w:line="360" w:lineRule="auto"/>
              <w:ind w:left="-109" w:right="-10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Priority review</w:t>
            </w:r>
            <w:sdt>
              <w:sdtPr>
                <w:rPr>
                  <w:rFonts w:asciiTheme="minorHAnsi" w:hAnsiTheme="minorHAnsi" w:cs="Times New Roman"/>
                  <w:color w:val="000000"/>
                  <w:sz w:val="16"/>
                  <w:szCs w:val="16"/>
                </w:rPr>
                <w:tag w:val="MENDELEY_CITATION_v3_eyJjaXRhdGlvbklEIjoiTUVOREVMRVlfQ0lUQVRJT05fMmFhNDQ5MGItNTgwMC00NzU5LThkNDAtZDJhNDhhYzljODc5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
                <w:id w:val="-278496274"/>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[4]</w:t>
                </w:r>
              </w:sdtContent>
            </w:sdt>
          </w:p>
        </w:tc>
        <w:tc>
          <w:tcPr>
            <w:tcW w:w="3685" w:type="dxa"/>
          </w:tcPr>
          <w:p w14:paraId="56AC983E" w14:textId="77777777" w:rsidR="00BD3CA3" w:rsidRPr="00BD3CA3" w:rsidRDefault="00BD3CA3" w:rsidP="003838B7">
            <w:pPr>
              <w:spacing w:line="360" w:lineRule="auto"/>
              <w:ind w:left="-112" w:right="-11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9 months instead of 12 months</w:t>
            </w:r>
          </w:p>
        </w:tc>
        <w:tc>
          <w:tcPr>
            <w:tcW w:w="1039" w:type="dxa"/>
          </w:tcPr>
          <w:p w14:paraId="36596402"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Pr>
                <w:rFonts w:asciiTheme="minorHAnsi" w:hAnsiTheme="minorHAnsi" w:cstheme="minorHAnsi"/>
                <w:sz w:val="16"/>
                <w:szCs w:val="16"/>
              </w:rPr>
              <w:t>√</w:t>
            </w:r>
          </w:p>
        </w:tc>
        <w:tc>
          <w:tcPr>
            <w:tcW w:w="1040" w:type="dxa"/>
          </w:tcPr>
          <w:p w14:paraId="1E5E6045"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39" w:type="dxa"/>
          </w:tcPr>
          <w:p w14:paraId="259FEBBE"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40" w:type="dxa"/>
          </w:tcPr>
          <w:p w14:paraId="0323A61A"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09A7F144"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0ADF6B91"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382E4414"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color w:val="000000"/>
                <w:sz w:val="16"/>
                <w:szCs w:val="16"/>
              </w:rPr>
              <w:t>Glecaprevir/Pibrentasvir (G/P), AbbVie</w:t>
            </w:r>
          </w:p>
        </w:tc>
      </w:tr>
      <w:tr w:rsidR="00BD3CA3" w:rsidRPr="00186336" w14:paraId="54E29D0F" w14:textId="77777777" w:rsidTr="008D6DD5">
        <w:tc>
          <w:tcPr>
            <w:tcW w:w="851" w:type="dxa"/>
            <w:vMerge/>
          </w:tcPr>
          <w:p w14:paraId="472D117F"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27051ECA" w14:textId="1178F97D" w:rsidR="00BD3CA3" w:rsidRPr="00BD3CA3" w:rsidRDefault="00BD3CA3" w:rsidP="003838B7">
            <w:pPr>
              <w:spacing w:line="360" w:lineRule="auto"/>
              <w:ind w:left="-109" w:right="-10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 xml:space="preserve">Orphan designation (1993) </w:t>
            </w:r>
            <w:sdt>
              <w:sdtPr>
                <w:rPr>
                  <w:rFonts w:asciiTheme="minorHAnsi" w:hAnsiTheme="minorHAnsi" w:cs="Times New Roman"/>
                  <w:color w:val="000000"/>
                  <w:sz w:val="16"/>
                  <w:szCs w:val="16"/>
                </w:rPr>
                <w:tag w:val="MENDELEY_CITATION_v3_eyJjaXRhdGlvbklEIjoiTUVOREVMRVlfQ0lUQVRJT05fYzdmMzUyYTUtZWFlOC00ODU4LThhYmYtMGEzNGRjOWY2N2Q3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
                <w:id w:val="956142703"/>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[4]</w:t>
                </w:r>
              </w:sdtContent>
            </w:sdt>
          </w:p>
        </w:tc>
        <w:tc>
          <w:tcPr>
            <w:tcW w:w="3685" w:type="dxa"/>
          </w:tcPr>
          <w:p w14:paraId="0A7AE335" w14:textId="77777777" w:rsidR="00BD3CA3" w:rsidRPr="00BD3CA3" w:rsidRDefault="00BD3CA3" w:rsidP="003838B7">
            <w:pPr>
              <w:spacing w:line="360" w:lineRule="auto"/>
              <w:ind w:left="-112" w:right="-11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 xml:space="preserve">Administrative and scientific </w:t>
            </w:r>
            <w:proofErr w:type="gramStart"/>
            <w:r w:rsidRPr="00BD3CA3">
              <w:rPr>
                <w:rFonts w:asciiTheme="minorHAnsi" w:hAnsiTheme="minorHAnsi" w:cs="Times New Roman"/>
                <w:color w:val="000000"/>
                <w:sz w:val="16"/>
                <w:szCs w:val="16"/>
              </w:rPr>
              <w:t>advices</w:t>
            </w:r>
            <w:proofErr w:type="gramEnd"/>
            <w:r w:rsidRPr="00BD3CA3">
              <w:rPr>
                <w:rFonts w:asciiTheme="minorHAnsi" w:hAnsiTheme="minorHAnsi" w:cs="Times New Roman"/>
                <w:color w:val="000000"/>
                <w:sz w:val="16"/>
                <w:szCs w:val="16"/>
              </w:rPr>
              <w:t>, preferential protocol assistance, grant aid for research expenses, authorization for tax deduction, reduction of application fee, extension of re-examination period</w:t>
            </w:r>
          </w:p>
        </w:tc>
        <w:tc>
          <w:tcPr>
            <w:tcW w:w="1039" w:type="dxa"/>
          </w:tcPr>
          <w:p w14:paraId="276B2818"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40" w:type="dxa"/>
          </w:tcPr>
          <w:p w14:paraId="54EDF144"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D54729">
              <w:rPr>
                <w:rFonts w:asciiTheme="minorHAnsi" w:hAnsiTheme="minorHAnsi" w:cstheme="minorHAnsi"/>
                <w:sz w:val="16"/>
                <w:szCs w:val="16"/>
              </w:rPr>
              <w:t>√</w:t>
            </w:r>
          </w:p>
        </w:tc>
        <w:tc>
          <w:tcPr>
            <w:tcW w:w="1039" w:type="dxa"/>
          </w:tcPr>
          <w:p w14:paraId="474DA1A8"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D54729">
              <w:rPr>
                <w:rFonts w:asciiTheme="minorHAnsi" w:hAnsiTheme="minorHAnsi" w:cstheme="minorHAnsi"/>
                <w:sz w:val="16"/>
                <w:szCs w:val="16"/>
              </w:rPr>
              <w:t>√</w:t>
            </w:r>
          </w:p>
        </w:tc>
        <w:tc>
          <w:tcPr>
            <w:tcW w:w="1040" w:type="dxa"/>
          </w:tcPr>
          <w:p w14:paraId="083F8FB6"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0978FF41"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01E514B1"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C5786FE"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color w:val="000000"/>
                <w:sz w:val="16"/>
                <w:szCs w:val="16"/>
              </w:rPr>
              <w:t>Edison Pharmaceuticals: EPI-743</w:t>
            </w:r>
          </w:p>
        </w:tc>
      </w:tr>
      <w:tr w:rsidR="00BD3CA3" w:rsidRPr="00186336" w14:paraId="31E05A5E" w14:textId="77777777" w:rsidTr="008D6DD5">
        <w:tc>
          <w:tcPr>
            <w:tcW w:w="851" w:type="dxa"/>
            <w:vMerge/>
          </w:tcPr>
          <w:p w14:paraId="14B030AD"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464829B9" w14:textId="4F70D227" w:rsidR="00BD3CA3" w:rsidRPr="00BD3CA3" w:rsidRDefault="00BD3CA3" w:rsidP="003838B7">
            <w:pPr>
              <w:spacing w:line="360" w:lineRule="auto"/>
              <w:ind w:left="-109" w:right="-10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 xml:space="preserve">Conditional &amp; Time-limited approval (2014) </w:t>
            </w:r>
            <w:sdt>
              <w:sdtPr>
                <w:rPr>
                  <w:rFonts w:asciiTheme="minorHAnsi" w:hAnsiTheme="minorHAnsi" w:cs="Times New Roman"/>
                  <w:color w:val="000000"/>
                  <w:sz w:val="16"/>
                  <w:szCs w:val="16"/>
                </w:rPr>
                <w:tag w:val="MENDELEY_CITATION_v3_eyJjaXRhdGlvbklEIjoiTUVOREVMRVlfQ0lUQVRJT05fYTg4NTVhMzItZjI1OC00MGU4LTkzNGQtMWVhN2E4MWQwZTVk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
                <w:id w:val="-1533494210"/>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[4]</w:t>
                </w:r>
              </w:sdtContent>
            </w:sdt>
          </w:p>
        </w:tc>
        <w:tc>
          <w:tcPr>
            <w:tcW w:w="3685" w:type="dxa"/>
          </w:tcPr>
          <w:p w14:paraId="597585FB" w14:textId="77777777" w:rsidR="00BD3CA3" w:rsidRPr="00BD3CA3" w:rsidRDefault="00BD3CA3" w:rsidP="003838B7">
            <w:pPr>
              <w:spacing w:line="360" w:lineRule="auto"/>
              <w:ind w:left="-112"/>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Earlier authorization based on less complete clinical data</w:t>
            </w:r>
          </w:p>
        </w:tc>
        <w:tc>
          <w:tcPr>
            <w:tcW w:w="1039" w:type="dxa"/>
          </w:tcPr>
          <w:p w14:paraId="0CA1DDFB"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BD7621">
              <w:rPr>
                <w:rFonts w:asciiTheme="minorHAnsi" w:hAnsiTheme="minorHAnsi" w:cstheme="minorHAnsi"/>
                <w:sz w:val="16"/>
                <w:szCs w:val="16"/>
              </w:rPr>
              <w:t>√</w:t>
            </w:r>
          </w:p>
        </w:tc>
        <w:tc>
          <w:tcPr>
            <w:tcW w:w="1040" w:type="dxa"/>
          </w:tcPr>
          <w:p w14:paraId="38CD99F6"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39" w:type="dxa"/>
          </w:tcPr>
          <w:p w14:paraId="4298398D"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Pr>
                <w:rFonts w:asciiTheme="minorHAnsi" w:hAnsiTheme="minorHAnsi" w:cstheme="minorHAnsi"/>
                <w:sz w:val="16"/>
                <w:szCs w:val="16"/>
              </w:rPr>
              <w:t>√</w:t>
            </w:r>
          </w:p>
        </w:tc>
        <w:tc>
          <w:tcPr>
            <w:tcW w:w="1040" w:type="dxa"/>
          </w:tcPr>
          <w:p w14:paraId="64E49F20"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9" w:type="dxa"/>
          </w:tcPr>
          <w:p w14:paraId="31B984B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35251E26"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704" w:type="dxa"/>
          </w:tcPr>
          <w:p w14:paraId="6C025E16" w14:textId="77777777" w:rsidR="00BD3CA3" w:rsidRPr="00186336" w:rsidRDefault="00BD3CA3" w:rsidP="003838B7">
            <w:pPr>
              <w:spacing w:line="360" w:lineRule="auto"/>
              <w:ind w:left="-105" w:right="-106"/>
              <w:jc w:val="center"/>
              <w:rPr>
                <w:rFonts w:asciiTheme="minorHAnsi" w:hAnsiTheme="minorHAnsi" w:cs="Times New Roman"/>
                <w:sz w:val="16"/>
                <w:szCs w:val="16"/>
              </w:rPr>
            </w:pPr>
          </w:p>
        </w:tc>
      </w:tr>
      <w:tr w:rsidR="00BD3CA3" w:rsidRPr="00186336" w14:paraId="3A272450" w14:textId="77777777" w:rsidTr="008D6DD5">
        <w:tc>
          <w:tcPr>
            <w:tcW w:w="851" w:type="dxa"/>
            <w:vMerge/>
          </w:tcPr>
          <w:p w14:paraId="06F7A30A" w14:textId="77777777" w:rsidR="00BD3CA3" w:rsidRPr="00186336" w:rsidRDefault="00BD3CA3" w:rsidP="003838B7">
            <w:pPr>
              <w:spacing w:line="360" w:lineRule="auto"/>
              <w:jc w:val="center"/>
              <w:rPr>
                <w:rFonts w:asciiTheme="minorHAnsi" w:hAnsiTheme="minorHAnsi" w:cs="Times New Roman"/>
                <w:sz w:val="16"/>
                <w:szCs w:val="16"/>
              </w:rPr>
            </w:pPr>
          </w:p>
        </w:tc>
        <w:tc>
          <w:tcPr>
            <w:tcW w:w="1701" w:type="dxa"/>
          </w:tcPr>
          <w:p w14:paraId="653676C5" w14:textId="5E6A4699" w:rsidR="00BD3CA3" w:rsidRPr="00BD3CA3" w:rsidRDefault="00BD3CA3" w:rsidP="003838B7">
            <w:pPr>
              <w:spacing w:line="360" w:lineRule="auto"/>
              <w:ind w:left="-109" w:right="-10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SAKIGAKE Forerunner review assignment (2015)</w:t>
            </w:r>
            <w:sdt>
              <w:sdtPr>
                <w:rPr>
                  <w:rFonts w:asciiTheme="minorHAnsi" w:hAnsiTheme="minorHAnsi" w:cs="Times New Roman"/>
                  <w:color w:val="000000"/>
                  <w:sz w:val="16"/>
                  <w:szCs w:val="16"/>
                </w:rPr>
                <w:tag w:val="MENDELEY_CITATION_v3_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"/>
                <w:id w:val="2097360430"/>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[5]</w:t>
                </w:r>
              </w:sdtContent>
            </w:sdt>
          </w:p>
        </w:tc>
        <w:tc>
          <w:tcPr>
            <w:tcW w:w="3685" w:type="dxa"/>
          </w:tcPr>
          <w:p w14:paraId="75774FFC" w14:textId="09BA90F4" w:rsidR="00BD3CA3" w:rsidRPr="00BD3CA3" w:rsidRDefault="00BD3CA3" w:rsidP="003838B7">
            <w:pPr>
              <w:spacing w:line="360" w:lineRule="auto"/>
              <w:ind w:left="-112" w:right="-11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 xml:space="preserve">Eligible for rolling review; Shorten consultation on clinical trials time from 2 months to 1 month; Review time from 12 months to 6 months </w:t>
            </w:r>
            <w:sdt>
              <w:sdtPr>
                <w:rPr>
                  <w:rFonts w:asciiTheme="minorHAnsi" w:hAnsiTheme="minorHAnsi" w:cs="Times New Roman"/>
                  <w:color w:val="000000"/>
                  <w:sz w:val="16"/>
                  <w:szCs w:val="16"/>
                </w:rPr>
                <w:tag w:val="MENDELEY_CITATION_v3_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"/>
                <w:id w:val="-1103182048"/>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[6]</w:t>
                </w:r>
              </w:sdtContent>
            </w:sdt>
          </w:p>
        </w:tc>
        <w:tc>
          <w:tcPr>
            <w:tcW w:w="1039" w:type="dxa"/>
          </w:tcPr>
          <w:p w14:paraId="7D447060"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BD7621">
              <w:rPr>
                <w:rFonts w:asciiTheme="minorHAnsi" w:hAnsiTheme="minorHAnsi" w:cstheme="minorHAnsi"/>
                <w:sz w:val="16"/>
                <w:szCs w:val="16"/>
              </w:rPr>
              <w:t>√</w:t>
            </w:r>
          </w:p>
        </w:tc>
        <w:tc>
          <w:tcPr>
            <w:tcW w:w="1040" w:type="dxa"/>
          </w:tcPr>
          <w:p w14:paraId="45982090"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39" w:type="dxa"/>
          </w:tcPr>
          <w:p w14:paraId="782620BB"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40" w:type="dxa"/>
          </w:tcPr>
          <w:p w14:paraId="69C29FC4" w14:textId="77777777" w:rsidR="00BD3CA3" w:rsidRPr="00186336" w:rsidRDefault="00BD3CA3" w:rsidP="003838B7">
            <w:pPr>
              <w:spacing w:line="360" w:lineRule="auto"/>
              <w:ind w:left="-101" w:right="-63"/>
              <w:jc w:val="center"/>
              <w:rPr>
                <w:rFonts w:asciiTheme="minorHAnsi" w:hAnsiTheme="minorHAnsi" w:cs="Times New Roman"/>
                <w:sz w:val="16"/>
                <w:szCs w:val="16"/>
              </w:rPr>
            </w:pPr>
            <w:r>
              <w:rPr>
                <w:rFonts w:asciiTheme="minorHAnsi" w:hAnsiTheme="minorHAnsi" w:cstheme="minorHAnsi"/>
                <w:sz w:val="16"/>
                <w:szCs w:val="16"/>
              </w:rPr>
              <w:t>√</w:t>
            </w:r>
          </w:p>
        </w:tc>
        <w:tc>
          <w:tcPr>
            <w:tcW w:w="1039" w:type="dxa"/>
          </w:tcPr>
          <w:p w14:paraId="6A780987"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037" w:type="dxa"/>
          </w:tcPr>
          <w:p w14:paraId="1A126C64" w14:textId="77777777" w:rsidR="00BD3CA3" w:rsidRPr="00186336" w:rsidRDefault="00BD3CA3" w:rsidP="003838B7">
            <w:pPr>
              <w:spacing w:line="360" w:lineRule="auto"/>
              <w:ind w:left="-101" w:right="-63"/>
              <w:jc w:val="center"/>
              <w:rPr>
                <w:rFonts w:asciiTheme="minorHAnsi" w:hAnsiTheme="minorHAnsi" w:cs="Times New Roman"/>
                <w:sz w:val="16"/>
                <w:szCs w:val="16"/>
              </w:rPr>
            </w:pPr>
          </w:p>
        </w:tc>
        <w:tc>
          <w:tcPr>
            <w:tcW w:w="1704" w:type="dxa"/>
          </w:tcPr>
          <w:p w14:paraId="4FD504D4" w14:textId="77777777" w:rsidR="00BD3CA3" w:rsidRPr="00186336" w:rsidRDefault="00BD3CA3" w:rsidP="003838B7">
            <w:pPr>
              <w:spacing w:line="360" w:lineRule="auto"/>
              <w:ind w:left="-105" w:right="-106"/>
              <w:jc w:val="center"/>
              <w:rPr>
                <w:rFonts w:asciiTheme="minorHAnsi" w:hAnsiTheme="minorHAnsi" w:cs="Times New Roman"/>
                <w:sz w:val="16"/>
                <w:szCs w:val="16"/>
              </w:rPr>
            </w:pPr>
            <w:r w:rsidRPr="00186336">
              <w:rPr>
                <w:rFonts w:asciiTheme="minorHAnsi" w:hAnsiTheme="minorHAnsi" w:cs="Times New Roman"/>
                <w:color w:val="000000"/>
                <w:sz w:val="16"/>
                <w:szCs w:val="16"/>
              </w:rPr>
              <w:t>Ono pharmaceutical &amp; Bristol-Myers Squibb: Opdivo;</w:t>
            </w:r>
            <w:r w:rsidRPr="00186336">
              <w:rPr>
                <w:rFonts w:asciiTheme="minorHAnsi" w:hAnsiTheme="minorHAnsi" w:cs="Times New Roman"/>
                <w:color w:val="000000"/>
                <w:sz w:val="16"/>
                <w:szCs w:val="16"/>
              </w:rPr>
              <w:br/>
              <w:t>Astellas Pharmaceuticals: ASP2215</w:t>
            </w:r>
          </w:p>
        </w:tc>
      </w:tr>
      <w:tr w:rsidR="00BD3CA3" w:rsidRPr="00186336" w14:paraId="31DB1B05" w14:textId="77777777" w:rsidTr="008D6DD5">
        <w:tc>
          <w:tcPr>
            <w:tcW w:w="851" w:type="dxa"/>
          </w:tcPr>
          <w:p w14:paraId="0AA8EF1A" w14:textId="77777777" w:rsidR="00BD3CA3" w:rsidRPr="00186336" w:rsidRDefault="00BD3CA3" w:rsidP="003838B7">
            <w:pPr>
              <w:spacing w:line="360" w:lineRule="auto"/>
              <w:jc w:val="center"/>
              <w:rPr>
                <w:rFonts w:asciiTheme="minorHAnsi" w:hAnsiTheme="minorHAnsi" w:cs="Times New Roman"/>
                <w:sz w:val="16"/>
                <w:szCs w:val="16"/>
              </w:rPr>
            </w:pPr>
            <w:r w:rsidRPr="00186336">
              <w:rPr>
                <w:rFonts w:asciiTheme="minorHAnsi" w:hAnsiTheme="minorHAnsi" w:cs="Times New Roman"/>
                <w:color w:val="000000"/>
                <w:sz w:val="16"/>
                <w:szCs w:val="16"/>
              </w:rPr>
              <w:t>China</w:t>
            </w:r>
          </w:p>
        </w:tc>
        <w:tc>
          <w:tcPr>
            <w:tcW w:w="1701" w:type="dxa"/>
          </w:tcPr>
          <w:p w14:paraId="0DE96A5A" w14:textId="0F6ACB67" w:rsidR="00BD3CA3" w:rsidRPr="00BD3CA3" w:rsidRDefault="00BD3CA3" w:rsidP="003838B7">
            <w:pPr>
              <w:spacing w:line="360" w:lineRule="auto"/>
              <w:ind w:left="-109" w:right="-10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Accelerated and conditional approval (Draft issued in 2017)</w:t>
            </w:r>
            <w:sdt>
              <w:sdtPr>
                <w:rPr>
                  <w:rFonts w:asciiTheme="minorHAnsi" w:hAnsiTheme="minorHAnsi" w:cs="Times New Roman"/>
                  <w:color w:val="000000"/>
                  <w:sz w:val="16"/>
                  <w:szCs w:val="16"/>
                </w:rPr>
                <w:tag w:val="MENDELEY_CITATION_v3_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"/>
                <w:id w:val="-2067483219"/>
                <w:placeholder>
                  <w:docPart w:val="DefaultPlaceholder_-1854013440"/>
                </w:placeholder>
              </w:sdtPr>
              <w:sdtEndPr>
                <w:rPr>
                  <w:rFonts w:ascii="Times New Roman" w:hAnsi="Times New Roman" w:cstheme="minorBidi"/>
                  <w:color w:val="auto"/>
                </w:rPr>
              </w:sdtEndPr>
              <w:sdtContent>
                <w:r w:rsidRPr="00BD3CA3">
                  <w:rPr>
                    <w:rFonts w:eastAsia="Times New Roman"/>
                    <w:sz w:val="16"/>
                    <w:szCs w:val="16"/>
                  </w:rPr>
                  <w:t>[7]</w:t>
                </w:r>
              </w:sdtContent>
            </w:sdt>
          </w:p>
        </w:tc>
        <w:tc>
          <w:tcPr>
            <w:tcW w:w="3685" w:type="dxa"/>
          </w:tcPr>
          <w:p w14:paraId="4EA1B11F" w14:textId="77777777" w:rsidR="00BD3CA3" w:rsidRPr="00BD3CA3" w:rsidRDefault="00BD3CA3" w:rsidP="003838B7">
            <w:pPr>
              <w:spacing w:line="360" w:lineRule="auto"/>
              <w:ind w:left="-112" w:right="-113"/>
              <w:jc w:val="center"/>
              <w:rPr>
                <w:rFonts w:asciiTheme="minorHAnsi" w:hAnsiTheme="minorHAnsi" w:cs="Times New Roman"/>
                <w:color w:val="000000"/>
                <w:sz w:val="16"/>
                <w:szCs w:val="16"/>
              </w:rPr>
            </w:pPr>
            <w:r w:rsidRPr="00BD3CA3">
              <w:rPr>
                <w:rFonts w:asciiTheme="minorHAnsi" w:hAnsiTheme="minorHAnsi" w:cs="Times New Roman"/>
                <w:color w:val="000000"/>
                <w:sz w:val="16"/>
                <w:szCs w:val="16"/>
              </w:rPr>
              <w:t>Grant conditional approval for meds that treat life-threatening conditions where significant unmet medical needs exist, if early- or mid-stage data can predict the drugs’ clinical benefits; cover orphan meds already approved in foreign countries, even those without any trial data from China.</w:t>
            </w:r>
          </w:p>
        </w:tc>
        <w:tc>
          <w:tcPr>
            <w:tcW w:w="1039" w:type="dxa"/>
          </w:tcPr>
          <w:p w14:paraId="2C14D578"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BD7621">
              <w:rPr>
                <w:rFonts w:asciiTheme="minorHAnsi" w:hAnsiTheme="minorHAnsi" w:cstheme="minorHAnsi"/>
                <w:sz w:val="16"/>
                <w:szCs w:val="16"/>
              </w:rPr>
              <w:t>√</w:t>
            </w:r>
          </w:p>
        </w:tc>
        <w:tc>
          <w:tcPr>
            <w:tcW w:w="1040" w:type="dxa"/>
          </w:tcPr>
          <w:p w14:paraId="364E22F4"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9F7265">
              <w:rPr>
                <w:rFonts w:asciiTheme="minorHAnsi" w:hAnsiTheme="minorHAnsi" w:cstheme="minorHAnsi"/>
                <w:sz w:val="16"/>
                <w:szCs w:val="16"/>
              </w:rPr>
              <w:t>√</w:t>
            </w:r>
          </w:p>
        </w:tc>
        <w:tc>
          <w:tcPr>
            <w:tcW w:w="1039" w:type="dxa"/>
          </w:tcPr>
          <w:p w14:paraId="6E9FB39E"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r w:rsidRPr="009F7265">
              <w:rPr>
                <w:rFonts w:asciiTheme="minorHAnsi" w:hAnsiTheme="minorHAnsi" w:cstheme="minorHAnsi"/>
                <w:sz w:val="16"/>
                <w:szCs w:val="16"/>
              </w:rPr>
              <w:t>√</w:t>
            </w:r>
          </w:p>
        </w:tc>
        <w:tc>
          <w:tcPr>
            <w:tcW w:w="1040" w:type="dxa"/>
          </w:tcPr>
          <w:p w14:paraId="7FBAB173"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39" w:type="dxa"/>
          </w:tcPr>
          <w:p w14:paraId="38368F20"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037" w:type="dxa"/>
          </w:tcPr>
          <w:p w14:paraId="201D8C54" w14:textId="77777777" w:rsidR="00BD3CA3" w:rsidRPr="00186336" w:rsidRDefault="00BD3CA3" w:rsidP="003838B7">
            <w:pPr>
              <w:spacing w:line="360" w:lineRule="auto"/>
              <w:ind w:left="-101" w:right="-63"/>
              <w:jc w:val="center"/>
              <w:rPr>
                <w:rFonts w:asciiTheme="minorHAnsi" w:hAnsiTheme="minorHAnsi" w:cs="Times New Roman"/>
                <w:color w:val="000000"/>
                <w:sz w:val="16"/>
                <w:szCs w:val="16"/>
              </w:rPr>
            </w:pPr>
          </w:p>
        </w:tc>
        <w:tc>
          <w:tcPr>
            <w:tcW w:w="1704" w:type="dxa"/>
          </w:tcPr>
          <w:p w14:paraId="289D33DB" w14:textId="77777777" w:rsidR="00BD3CA3" w:rsidRPr="00C904BC" w:rsidRDefault="00BD3CA3" w:rsidP="003838B7">
            <w:pPr>
              <w:spacing w:line="360" w:lineRule="auto"/>
              <w:jc w:val="center"/>
              <w:rPr>
                <w:rFonts w:asciiTheme="minorHAnsi" w:hAnsiTheme="minorHAnsi" w:cs="Times New Roman"/>
                <w:color w:val="000000"/>
                <w:sz w:val="16"/>
                <w:szCs w:val="16"/>
              </w:rPr>
            </w:pPr>
          </w:p>
        </w:tc>
      </w:tr>
    </w:tbl>
    <w:p w14:paraId="3DA86D14" w14:textId="77777777" w:rsidR="00BD3CA3" w:rsidRDefault="00BD3CA3"/>
    <w:p w14:paraId="016D5F14" w14:textId="17124B9A" w:rsidR="00BD3CA3" w:rsidRDefault="00BD3CA3">
      <w:r>
        <w:br w:type="page"/>
      </w:r>
    </w:p>
    <w:p w14:paraId="33EB1B2D" w14:textId="3C5C41D8" w:rsidR="00BD3CA3" w:rsidRDefault="00BD3CA3">
      <w:r>
        <w:lastRenderedPageBreak/>
        <w:t>References:</w:t>
      </w:r>
    </w:p>
    <w:sdt>
      <w:sdtPr>
        <w:tag w:val="MENDELEY_BIBLIOGRAPHY"/>
        <w:id w:val="-1574270603"/>
        <w:placeholder>
          <w:docPart w:val="DefaultPlaceholder_-1854013440"/>
        </w:placeholder>
      </w:sdtPr>
      <w:sdtEndPr/>
      <w:sdtContent>
        <w:p w14:paraId="23D2E57B" w14:textId="77777777" w:rsidR="00BD3CA3" w:rsidRDefault="00BD3CA3">
          <w:pPr>
            <w:autoSpaceDE w:val="0"/>
            <w:autoSpaceDN w:val="0"/>
            <w:ind w:hanging="640"/>
            <w:divId w:val="254748386"/>
            <w:rPr>
              <w:rFonts w:eastAsia="Times New Roman"/>
              <w:szCs w:val="24"/>
            </w:rPr>
          </w:pPr>
          <w:r>
            <w:rPr>
              <w:rFonts w:eastAsia="Times New Roman"/>
            </w:rPr>
            <w:t>1</w:t>
          </w:r>
          <w:r>
            <w:rPr>
              <w:rFonts w:eastAsia="Times New Roman"/>
            </w:rPr>
            <w:tab/>
            <w:t xml:space="preserve">Ridley DB. Priorities for the priority review voucher. </w:t>
          </w:r>
          <w:r>
            <w:rPr>
              <w:rFonts w:eastAsia="Times New Roman"/>
              <w:i/>
              <w:iCs/>
            </w:rPr>
            <w:t>American Journal of Tropical Medicine and Hygiene</w:t>
          </w:r>
          <w:r>
            <w:rPr>
              <w:rFonts w:eastAsia="Times New Roman"/>
            </w:rPr>
            <w:t xml:space="preserve"> 96(1), 14–15 (2017).</w:t>
          </w:r>
        </w:p>
        <w:p w14:paraId="6CBA5C13" w14:textId="77777777" w:rsidR="00BD3CA3" w:rsidRDefault="00BD3CA3">
          <w:pPr>
            <w:autoSpaceDE w:val="0"/>
            <w:autoSpaceDN w:val="0"/>
            <w:ind w:hanging="640"/>
            <w:divId w:val="1268856622"/>
            <w:rPr>
              <w:rFonts w:eastAsia="Times New Roman"/>
            </w:rPr>
          </w:pPr>
          <w:r>
            <w:rPr>
              <w:rFonts w:eastAsia="Times New Roman"/>
            </w:rPr>
            <w:t>2</w:t>
          </w:r>
          <w:r>
            <w:rPr>
              <w:rFonts w:eastAsia="Times New Roman"/>
            </w:rPr>
            <w:tab/>
            <w:t>Raggio M. Overview of FDA Expedited Programs with a Focus on Breakthrough Therapy. (2015).</w:t>
          </w:r>
        </w:p>
        <w:p w14:paraId="446B2E2D" w14:textId="77777777" w:rsidR="00BD3CA3" w:rsidRDefault="00BD3CA3">
          <w:pPr>
            <w:autoSpaceDE w:val="0"/>
            <w:autoSpaceDN w:val="0"/>
            <w:ind w:hanging="640"/>
            <w:divId w:val="4720456"/>
            <w:rPr>
              <w:rFonts w:eastAsia="Times New Roman"/>
            </w:rPr>
          </w:pPr>
          <w:r>
            <w:rPr>
              <w:rFonts w:eastAsia="Times New Roman"/>
            </w:rPr>
            <w:t>3</w:t>
          </w:r>
          <w:r>
            <w:rPr>
              <w:rFonts w:eastAsia="Times New Roman"/>
            </w:rPr>
            <w:tab/>
            <w:t xml:space="preserve">McBlane JW. Regulatory landscape for cell therapy - EU view. </w:t>
          </w:r>
          <w:r>
            <w:rPr>
              <w:rFonts w:eastAsia="Times New Roman"/>
              <w:i/>
              <w:iCs/>
            </w:rPr>
            <w:t>Biologicals</w:t>
          </w:r>
          <w:r>
            <w:rPr>
              <w:rFonts w:eastAsia="Times New Roman"/>
            </w:rPr>
            <w:t xml:space="preserve"> 43(5), 433–436 (2015).</w:t>
          </w:r>
        </w:p>
        <w:p w14:paraId="5ED75621" w14:textId="77777777" w:rsidR="00BD3CA3" w:rsidRDefault="00BD3CA3">
          <w:pPr>
            <w:autoSpaceDE w:val="0"/>
            <w:autoSpaceDN w:val="0"/>
            <w:ind w:hanging="640"/>
            <w:divId w:val="1398891849"/>
            <w:rPr>
              <w:rFonts w:eastAsia="Times New Roman"/>
            </w:rPr>
          </w:pPr>
          <w:r>
            <w:rPr>
              <w:rFonts w:eastAsia="Times New Roman"/>
            </w:rPr>
            <w:t>4</w:t>
          </w:r>
          <w:r>
            <w:rPr>
              <w:rFonts w:eastAsia="Times New Roman"/>
            </w:rPr>
            <w:tab/>
            <w:t xml:space="preserve">Jokura Y, Yano K, Yamato M. Comparison of the new Japanese legislation for expedited approval of regenerative medicine products with the existing systems in the USA and European Union. </w:t>
          </w:r>
          <w:r>
            <w:rPr>
              <w:rFonts w:eastAsia="Times New Roman"/>
              <w:i/>
              <w:iCs/>
            </w:rPr>
            <w:t>Journal of Tissue Engineering and Regenerative Medicine</w:t>
          </w:r>
          <w:r>
            <w:rPr>
              <w:rFonts w:eastAsia="Times New Roman"/>
            </w:rPr>
            <w:t xml:space="preserve"> 12(2), e1056–e1062 (2018).</w:t>
          </w:r>
        </w:p>
        <w:p w14:paraId="06100B68" w14:textId="77777777" w:rsidR="00BD3CA3" w:rsidRDefault="00BD3CA3">
          <w:pPr>
            <w:autoSpaceDE w:val="0"/>
            <w:autoSpaceDN w:val="0"/>
            <w:ind w:hanging="640"/>
            <w:divId w:val="1077244251"/>
            <w:rPr>
              <w:rFonts w:eastAsia="Times New Roman"/>
            </w:rPr>
          </w:pPr>
          <w:r>
            <w:rPr>
              <w:rFonts w:eastAsia="Times New Roman"/>
            </w:rPr>
            <w:t>5</w:t>
          </w:r>
          <w:r>
            <w:rPr>
              <w:rFonts w:eastAsia="Times New Roman"/>
            </w:rPr>
            <w:tab/>
            <w:t>MHLW. Strategy of SAKIGAKE-the Ministry of Health, Labour and Welfare. 20 (2014).</w:t>
          </w:r>
        </w:p>
        <w:p w14:paraId="309238F9" w14:textId="77777777" w:rsidR="00BD3CA3" w:rsidRDefault="00BD3CA3">
          <w:pPr>
            <w:autoSpaceDE w:val="0"/>
            <w:autoSpaceDN w:val="0"/>
            <w:ind w:hanging="640"/>
            <w:divId w:val="1288585197"/>
            <w:rPr>
              <w:rFonts w:eastAsia="Times New Roman"/>
            </w:rPr>
          </w:pPr>
          <w:r>
            <w:rPr>
              <w:rFonts w:eastAsia="Times New Roman"/>
            </w:rPr>
            <w:t>6</w:t>
          </w:r>
          <w:r>
            <w:rPr>
              <w:rFonts w:eastAsia="Times New Roman"/>
            </w:rPr>
            <w:tab/>
            <w:t>Maruyama Y. “Regulation of Regenerative Medicine in Japan” (2017). https://www.pmda.go.jp/files/000219466.pdf.</w:t>
          </w:r>
        </w:p>
        <w:p w14:paraId="74A07807" w14:textId="77777777" w:rsidR="00BD3CA3" w:rsidRDefault="00BD3CA3">
          <w:pPr>
            <w:autoSpaceDE w:val="0"/>
            <w:autoSpaceDN w:val="0"/>
            <w:ind w:hanging="640"/>
            <w:divId w:val="286862999"/>
            <w:rPr>
              <w:rFonts w:eastAsia="Times New Roman"/>
            </w:rPr>
          </w:pPr>
          <w:r>
            <w:rPr>
              <w:rFonts w:eastAsia="Times New Roman"/>
            </w:rPr>
            <w:t>7</w:t>
          </w:r>
          <w:r>
            <w:rPr>
              <w:rFonts w:eastAsia="Times New Roman"/>
            </w:rPr>
            <w:tab/>
            <w:t>CFDA. “</w:t>
          </w:r>
          <w:r>
            <w:rPr>
              <w:rFonts w:ascii="SimSun" w:eastAsia="SimSun" w:hAnsi="SimSun" w:cs="SimSun" w:hint="eastAsia"/>
            </w:rPr>
            <w:t>总局关于征求《关于鼓励药品医疗器械创新加快新药医疗器械上市审评审批的相关政策》（征求意见稿）意见的公告（</w:t>
          </w:r>
          <w:r>
            <w:rPr>
              <w:rFonts w:eastAsia="Times New Roman"/>
            </w:rPr>
            <w:t>2017</w:t>
          </w:r>
          <w:r>
            <w:rPr>
              <w:rFonts w:ascii="SimSun" w:eastAsia="SimSun" w:hAnsi="SimSun" w:cs="SimSun" w:hint="eastAsia"/>
            </w:rPr>
            <w:t>年第</w:t>
          </w:r>
          <w:r>
            <w:rPr>
              <w:rFonts w:eastAsia="Times New Roman"/>
            </w:rPr>
            <w:t>52</w:t>
          </w:r>
          <w:r>
            <w:rPr>
              <w:rFonts w:ascii="SimSun" w:eastAsia="SimSun" w:hAnsi="SimSun" w:cs="SimSun" w:hint="eastAsia"/>
            </w:rPr>
            <w:t>号）</w:t>
          </w:r>
          <w:r>
            <w:rPr>
              <w:rFonts w:eastAsia="Times New Roman"/>
            </w:rPr>
            <w:t>(Translation: Encouraging Innovation and Accelerating the Review and Approval of New Drugs and Medical Devices (Draft for comment))” (2017). http://www.sfda.gov.cn/WS01/CL0087/172567.html (Archived by WebCite® at http://www.webcitation.org/73nSO5868).</w:t>
          </w:r>
        </w:p>
        <w:p w14:paraId="3A84906D" w14:textId="4B29A100" w:rsidR="00BD3CA3" w:rsidRDefault="00BD3CA3">
          <w:r>
            <w:rPr>
              <w:rFonts w:eastAsia="Times New Roman"/>
            </w:rPr>
            <w:t> </w:t>
          </w:r>
        </w:p>
      </w:sdtContent>
    </w:sdt>
    <w:sectPr w:rsidR="00BD3CA3" w:rsidSect="008D6DD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GzNDU3tzA0sDQ2NrFU0lEKTi0uzszPAykwrgUA5lM0PywAAAA="/>
  </w:docVars>
  <w:rsids>
    <w:rsidRoot w:val="008D6DD5"/>
    <w:rsid w:val="004769ED"/>
    <w:rsid w:val="00587A06"/>
    <w:rsid w:val="00717476"/>
    <w:rsid w:val="00761329"/>
    <w:rsid w:val="007F6469"/>
    <w:rsid w:val="008D6DD5"/>
    <w:rsid w:val="00BD3CA3"/>
    <w:rsid w:val="00DC157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158C"/>
  <w15:chartTrackingRefBased/>
  <w15:docId w15:val="{C6196D2F-2091-4E8C-9C00-F54A2AD2B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DD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D6DD5"/>
    <w:pPr>
      <w:spacing w:after="200" w:line="240" w:lineRule="auto"/>
    </w:pPr>
    <w:rPr>
      <w:rFonts w:eastAsia="Times New Roman" w:cs="Times New Roman"/>
      <w:i/>
      <w:iCs/>
      <w:color w:val="44546A" w:themeColor="text2"/>
      <w:sz w:val="18"/>
      <w:szCs w:val="18"/>
    </w:rPr>
  </w:style>
  <w:style w:type="table" w:styleId="TableGridLight">
    <w:name w:val="Grid Table Light"/>
    <w:basedOn w:val="TableNormal"/>
    <w:uiPriority w:val="40"/>
    <w:rsid w:val="008D6D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BD3C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4228">
      <w:bodyDiv w:val="1"/>
      <w:marLeft w:val="0"/>
      <w:marRight w:val="0"/>
      <w:marTop w:val="0"/>
      <w:marBottom w:val="0"/>
      <w:divBdr>
        <w:top w:val="none" w:sz="0" w:space="0" w:color="auto"/>
        <w:left w:val="none" w:sz="0" w:space="0" w:color="auto"/>
        <w:bottom w:val="none" w:sz="0" w:space="0" w:color="auto"/>
        <w:right w:val="none" w:sz="0" w:space="0" w:color="auto"/>
      </w:divBdr>
    </w:div>
    <w:div w:id="60835521">
      <w:bodyDiv w:val="1"/>
      <w:marLeft w:val="0"/>
      <w:marRight w:val="0"/>
      <w:marTop w:val="0"/>
      <w:marBottom w:val="0"/>
      <w:divBdr>
        <w:top w:val="none" w:sz="0" w:space="0" w:color="auto"/>
        <w:left w:val="none" w:sz="0" w:space="0" w:color="auto"/>
        <w:bottom w:val="none" w:sz="0" w:space="0" w:color="auto"/>
        <w:right w:val="none" w:sz="0" w:space="0" w:color="auto"/>
      </w:divBdr>
    </w:div>
    <w:div w:id="112678982">
      <w:bodyDiv w:val="1"/>
      <w:marLeft w:val="0"/>
      <w:marRight w:val="0"/>
      <w:marTop w:val="0"/>
      <w:marBottom w:val="0"/>
      <w:divBdr>
        <w:top w:val="none" w:sz="0" w:space="0" w:color="auto"/>
        <w:left w:val="none" w:sz="0" w:space="0" w:color="auto"/>
        <w:bottom w:val="none" w:sz="0" w:space="0" w:color="auto"/>
        <w:right w:val="none" w:sz="0" w:space="0" w:color="auto"/>
      </w:divBdr>
    </w:div>
    <w:div w:id="223034127">
      <w:bodyDiv w:val="1"/>
      <w:marLeft w:val="0"/>
      <w:marRight w:val="0"/>
      <w:marTop w:val="0"/>
      <w:marBottom w:val="0"/>
      <w:divBdr>
        <w:top w:val="none" w:sz="0" w:space="0" w:color="auto"/>
        <w:left w:val="none" w:sz="0" w:space="0" w:color="auto"/>
        <w:bottom w:val="none" w:sz="0" w:space="0" w:color="auto"/>
        <w:right w:val="none" w:sz="0" w:space="0" w:color="auto"/>
      </w:divBdr>
    </w:div>
    <w:div w:id="708185460">
      <w:bodyDiv w:val="1"/>
      <w:marLeft w:val="0"/>
      <w:marRight w:val="0"/>
      <w:marTop w:val="0"/>
      <w:marBottom w:val="0"/>
      <w:divBdr>
        <w:top w:val="none" w:sz="0" w:space="0" w:color="auto"/>
        <w:left w:val="none" w:sz="0" w:space="0" w:color="auto"/>
        <w:bottom w:val="none" w:sz="0" w:space="0" w:color="auto"/>
        <w:right w:val="none" w:sz="0" w:space="0" w:color="auto"/>
      </w:divBdr>
    </w:div>
    <w:div w:id="773986585">
      <w:bodyDiv w:val="1"/>
      <w:marLeft w:val="0"/>
      <w:marRight w:val="0"/>
      <w:marTop w:val="0"/>
      <w:marBottom w:val="0"/>
      <w:divBdr>
        <w:top w:val="none" w:sz="0" w:space="0" w:color="auto"/>
        <w:left w:val="none" w:sz="0" w:space="0" w:color="auto"/>
        <w:bottom w:val="none" w:sz="0" w:space="0" w:color="auto"/>
        <w:right w:val="none" w:sz="0" w:space="0" w:color="auto"/>
      </w:divBdr>
    </w:div>
    <w:div w:id="826945298">
      <w:bodyDiv w:val="1"/>
      <w:marLeft w:val="0"/>
      <w:marRight w:val="0"/>
      <w:marTop w:val="0"/>
      <w:marBottom w:val="0"/>
      <w:divBdr>
        <w:top w:val="none" w:sz="0" w:space="0" w:color="auto"/>
        <w:left w:val="none" w:sz="0" w:space="0" w:color="auto"/>
        <w:bottom w:val="none" w:sz="0" w:space="0" w:color="auto"/>
        <w:right w:val="none" w:sz="0" w:space="0" w:color="auto"/>
      </w:divBdr>
    </w:div>
    <w:div w:id="865867526">
      <w:bodyDiv w:val="1"/>
      <w:marLeft w:val="0"/>
      <w:marRight w:val="0"/>
      <w:marTop w:val="0"/>
      <w:marBottom w:val="0"/>
      <w:divBdr>
        <w:top w:val="none" w:sz="0" w:space="0" w:color="auto"/>
        <w:left w:val="none" w:sz="0" w:space="0" w:color="auto"/>
        <w:bottom w:val="none" w:sz="0" w:space="0" w:color="auto"/>
        <w:right w:val="none" w:sz="0" w:space="0" w:color="auto"/>
      </w:divBdr>
    </w:div>
    <w:div w:id="879324041">
      <w:bodyDiv w:val="1"/>
      <w:marLeft w:val="0"/>
      <w:marRight w:val="0"/>
      <w:marTop w:val="0"/>
      <w:marBottom w:val="0"/>
      <w:divBdr>
        <w:top w:val="none" w:sz="0" w:space="0" w:color="auto"/>
        <w:left w:val="none" w:sz="0" w:space="0" w:color="auto"/>
        <w:bottom w:val="none" w:sz="0" w:space="0" w:color="auto"/>
        <w:right w:val="none" w:sz="0" w:space="0" w:color="auto"/>
      </w:divBdr>
    </w:div>
    <w:div w:id="909774704">
      <w:bodyDiv w:val="1"/>
      <w:marLeft w:val="0"/>
      <w:marRight w:val="0"/>
      <w:marTop w:val="0"/>
      <w:marBottom w:val="0"/>
      <w:divBdr>
        <w:top w:val="none" w:sz="0" w:space="0" w:color="auto"/>
        <w:left w:val="none" w:sz="0" w:space="0" w:color="auto"/>
        <w:bottom w:val="none" w:sz="0" w:space="0" w:color="auto"/>
        <w:right w:val="none" w:sz="0" w:space="0" w:color="auto"/>
      </w:divBdr>
    </w:div>
    <w:div w:id="998000770">
      <w:bodyDiv w:val="1"/>
      <w:marLeft w:val="0"/>
      <w:marRight w:val="0"/>
      <w:marTop w:val="0"/>
      <w:marBottom w:val="0"/>
      <w:divBdr>
        <w:top w:val="none" w:sz="0" w:space="0" w:color="auto"/>
        <w:left w:val="none" w:sz="0" w:space="0" w:color="auto"/>
        <w:bottom w:val="none" w:sz="0" w:space="0" w:color="auto"/>
        <w:right w:val="none" w:sz="0" w:space="0" w:color="auto"/>
      </w:divBdr>
    </w:div>
    <w:div w:id="1016886974">
      <w:bodyDiv w:val="1"/>
      <w:marLeft w:val="0"/>
      <w:marRight w:val="0"/>
      <w:marTop w:val="0"/>
      <w:marBottom w:val="0"/>
      <w:divBdr>
        <w:top w:val="none" w:sz="0" w:space="0" w:color="auto"/>
        <w:left w:val="none" w:sz="0" w:space="0" w:color="auto"/>
        <w:bottom w:val="none" w:sz="0" w:space="0" w:color="auto"/>
        <w:right w:val="none" w:sz="0" w:space="0" w:color="auto"/>
      </w:divBdr>
    </w:div>
    <w:div w:id="1256131112">
      <w:bodyDiv w:val="1"/>
      <w:marLeft w:val="0"/>
      <w:marRight w:val="0"/>
      <w:marTop w:val="0"/>
      <w:marBottom w:val="0"/>
      <w:divBdr>
        <w:top w:val="none" w:sz="0" w:space="0" w:color="auto"/>
        <w:left w:val="none" w:sz="0" w:space="0" w:color="auto"/>
        <w:bottom w:val="none" w:sz="0" w:space="0" w:color="auto"/>
        <w:right w:val="none" w:sz="0" w:space="0" w:color="auto"/>
      </w:divBdr>
    </w:div>
    <w:div w:id="1431706506">
      <w:bodyDiv w:val="1"/>
      <w:marLeft w:val="0"/>
      <w:marRight w:val="0"/>
      <w:marTop w:val="0"/>
      <w:marBottom w:val="0"/>
      <w:divBdr>
        <w:top w:val="none" w:sz="0" w:space="0" w:color="auto"/>
        <w:left w:val="none" w:sz="0" w:space="0" w:color="auto"/>
        <w:bottom w:val="none" w:sz="0" w:space="0" w:color="auto"/>
        <w:right w:val="none" w:sz="0" w:space="0" w:color="auto"/>
      </w:divBdr>
    </w:div>
    <w:div w:id="1534734533">
      <w:bodyDiv w:val="1"/>
      <w:marLeft w:val="0"/>
      <w:marRight w:val="0"/>
      <w:marTop w:val="0"/>
      <w:marBottom w:val="0"/>
      <w:divBdr>
        <w:top w:val="none" w:sz="0" w:space="0" w:color="auto"/>
        <w:left w:val="none" w:sz="0" w:space="0" w:color="auto"/>
        <w:bottom w:val="none" w:sz="0" w:space="0" w:color="auto"/>
        <w:right w:val="none" w:sz="0" w:space="0" w:color="auto"/>
      </w:divBdr>
    </w:div>
    <w:div w:id="1535997089">
      <w:bodyDiv w:val="1"/>
      <w:marLeft w:val="0"/>
      <w:marRight w:val="0"/>
      <w:marTop w:val="0"/>
      <w:marBottom w:val="0"/>
      <w:divBdr>
        <w:top w:val="none" w:sz="0" w:space="0" w:color="auto"/>
        <w:left w:val="none" w:sz="0" w:space="0" w:color="auto"/>
        <w:bottom w:val="none" w:sz="0" w:space="0" w:color="auto"/>
        <w:right w:val="none" w:sz="0" w:space="0" w:color="auto"/>
      </w:divBdr>
    </w:div>
    <w:div w:id="1632051075">
      <w:bodyDiv w:val="1"/>
      <w:marLeft w:val="0"/>
      <w:marRight w:val="0"/>
      <w:marTop w:val="0"/>
      <w:marBottom w:val="0"/>
      <w:divBdr>
        <w:top w:val="none" w:sz="0" w:space="0" w:color="auto"/>
        <w:left w:val="none" w:sz="0" w:space="0" w:color="auto"/>
        <w:bottom w:val="none" w:sz="0" w:space="0" w:color="auto"/>
        <w:right w:val="none" w:sz="0" w:space="0" w:color="auto"/>
      </w:divBdr>
    </w:div>
    <w:div w:id="1762094472">
      <w:bodyDiv w:val="1"/>
      <w:marLeft w:val="0"/>
      <w:marRight w:val="0"/>
      <w:marTop w:val="0"/>
      <w:marBottom w:val="0"/>
      <w:divBdr>
        <w:top w:val="none" w:sz="0" w:space="0" w:color="auto"/>
        <w:left w:val="none" w:sz="0" w:space="0" w:color="auto"/>
        <w:bottom w:val="none" w:sz="0" w:space="0" w:color="auto"/>
        <w:right w:val="none" w:sz="0" w:space="0" w:color="auto"/>
      </w:divBdr>
    </w:div>
    <w:div w:id="1844129842">
      <w:bodyDiv w:val="1"/>
      <w:marLeft w:val="0"/>
      <w:marRight w:val="0"/>
      <w:marTop w:val="0"/>
      <w:marBottom w:val="0"/>
      <w:divBdr>
        <w:top w:val="none" w:sz="0" w:space="0" w:color="auto"/>
        <w:left w:val="none" w:sz="0" w:space="0" w:color="auto"/>
        <w:bottom w:val="none" w:sz="0" w:space="0" w:color="auto"/>
        <w:right w:val="none" w:sz="0" w:space="0" w:color="auto"/>
      </w:divBdr>
    </w:div>
    <w:div w:id="1923757655">
      <w:bodyDiv w:val="1"/>
      <w:marLeft w:val="0"/>
      <w:marRight w:val="0"/>
      <w:marTop w:val="0"/>
      <w:marBottom w:val="0"/>
      <w:divBdr>
        <w:top w:val="none" w:sz="0" w:space="0" w:color="auto"/>
        <w:left w:val="none" w:sz="0" w:space="0" w:color="auto"/>
        <w:bottom w:val="none" w:sz="0" w:space="0" w:color="auto"/>
        <w:right w:val="none" w:sz="0" w:space="0" w:color="auto"/>
      </w:divBdr>
    </w:div>
    <w:div w:id="2122414516">
      <w:bodyDiv w:val="1"/>
      <w:marLeft w:val="0"/>
      <w:marRight w:val="0"/>
      <w:marTop w:val="0"/>
      <w:marBottom w:val="0"/>
      <w:divBdr>
        <w:top w:val="none" w:sz="0" w:space="0" w:color="auto"/>
        <w:left w:val="none" w:sz="0" w:space="0" w:color="auto"/>
        <w:bottom w:val="none" w:sz="0" w:space="0" w:color="auto"/>
        <w:right w:val="none" w:sz="0" w:space="0" w:color="auto"/>
      </w:divBdr>
      <w:divsChild>
        <w:div w:id="254748386">
          <w:marLeft w:val="640"/>
          <w:marRight w:val="0"/>
          <w:marTop w:val="0"/>
          <w:marBottom w:val="0"/>
          <w:divBdr>
            <w:top w:val="none" w:sz="0" w:space="0" w:color="auto"/>
            <w:left w:val="none" w:sz="0" w:space="0" w:color="auto"/>
            <w:bottom w:val="none" w:sz="0" w:space="0" w:color="auto"/>
            <w:right w:val="none" w:sz="0" w:space="0" w:color="auto"/>
          </w:divBdr>
        </w:div>
        <w:div w:id="1268856622">
          <w:marLeft w:val="640"/>
          <w:marRight w:val="0"/>
          <w:marTop w:val="0"/>
          <w:marBottom w:val="0"/>
          <w:divBdr>
            <w:top w:val="none" w:sz="0" w:space="0" w:color="auto"/>
            <w:left w:val="none" w:sz="0" w:space="0" w:color="auto"/>
            <w:bottom w:val="none" w:sz="0" w:space="0" w:color="auto"/>
            <w:right w:val="none" w:sz="0" w:space="0" w:color="auto"/>
          </w:divBdr>
        </w:div>
        <w:div w:id="4720456">
          <w:marLeft w:val="640"/>
          <w:marRight w:val="0"/>
          <w:marTop w:val="0"/>
          <w:marBottom w:val="0"/>
          <w:divBdr>
            <w:top w:val="none" w:sz="0" w:space="0" w:color="auto"/>
            <w:left w:val="none" w:sz="0" w:space="0" w:color="auto"/>
            <w:bottom w:val="none" w:sz="0" w:space="0" w:color="auto"/>
            <w:right w:val="none" w:sz="0" w:space="0" w:color="auto"/>
          </w:divBdr>
        </w:div>
        <w:div w:id="1398891849">
          <w:marLeft w:val="640"/>
          <w:marRight w:val="0"/>
          <w:marTop w:val="0"/>
          <w:marBottom w:val="0"/>
          <w:divBdr>
            <w:top w:val="none" w:sz="0" w:space="0" w:color="auto"/>
            <w:left w:val="none" w:sz="0" w:space="0" w:color="auto"/>
            <w:bottom w:val="none" w:sz="0" w:space="0" w:color="auto"/>
            <w:right w:val="none" w:sz="0" w:space="0" w:color="auto"/>
          </w:divBdr>
        </w:div>
        <w:div w:id="1077244251">
          <w:marLeft w:val="640"/>
          <w:marRight w:val="0"/>
          <w:marTop w:val="0"/>
          <w:marBottom w:val="0"/>
          <w:divBdr>
            <w:top w:val="none" w:sz="0" w:space="0" w:color="auto"/>
            <w:left w:val="none" w:sz="0" w:space="0" w:color="auto"/>
            <w:bottom w:val="none" w:sz="0" w:space="0" w:color="auto"/>
            <w:right w:val="none" w:sz="0" w:space="0" w:color="auto"/>
          </w:divBdr>
        </w:div>
        <w:div w:id="1288585197">
          <w:marLeft w:val="640"/>
          <w:marRight w:val="0"/>
          <w:marTop w:val="0"/>
          <w:marBottom w:val="0"/>
          <w:divBdr>
            <w:top w:val="none" w:sz="0" w:space="0" w:color="auto"/>
            <w:left w:val="none" w:sz="0" w:space="0" w:color="auto"/>
            <w:bottom w:val="none" w:sz="0" w:space="0" w:color="auto"/>
            <w:right w:val="none" w:sz="0" w:space="0" w:color="auto"/>
          </w:divBdr>
        </w:div>
        <w:div w:id="28686299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854F8E0-1789-4DED-97F2-6D3720B92EA0}"/>
      </w:docPartPr>
      <w:docPartBody>
        <w:p w:rsidR="008D57E9" w:rsidRDefault="00FC0349">
          <w:r w:rsidRPr="001320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349"/>
    <w:rsid w:val="004D0A8B"/>
    <w:rsid w:val="0080399E"/>
    <w:rsid w:val="008D57E9"/>
    <w:rsid w:val="00FC034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034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156F842-EB3C-4EA2-B74E-0E80ABF0B1C5}">
  <we:reference id="wa104382081" version="1.28.0.0" store="en-US" storeType="OMEX"/>
  <we:alternateReferences>
    <we:reference id="WA104382081" version="1.28.0.0" store="" storeType="OMEX"/>
  </we:alternateReferences>
  <we:properties>
    <we:property name="MENDELEY_CITATIONS" value="[{&quot;citationID&quot;:&quot;MENDELEY_CITATION_ea9262bc-d3b9-46d8-ba73-b9a77bd572c9&quot;,&quot;citationItems&quot;:[{&quot;id&quot;:&quot;b6f04043-a54d-3237-bbef-9b0724c9cd46&quot;,&quot;itemData&quot;:{&quot;DOI&quot;:&quot;10.4269/ajtmh.16-0600&quot;,&quot;ISSN&quot;:&quot;00029637&quot;,&quot;PMID&quot;:&quot;27573624&quot;,&quot;abstract&quot;:&quot;The U.S. Congress created the priority review voucher program in 2007 to encourage development of drugs for neglected diseases. Under the voucher program, the developer of a drug for a neglected or rare pediatric disease that is approved by the U.S. Food and Drug Administration receives a bonus priority review voucher for another drug. As of 2016, four vouchers have sold for an average price of $200 million. Recent experience with the voucher program indicates strengths and weaknesses of the program, as well as a need for legislative changes.&quot;,&quot;author&quot;:[{&quot;dropping-particle&quot;:&quot;&quot;,&quot;family&quot;:&quot;Ridley&quot;,&quot;given&quot;:&quot;David B.&quot;,&quot;non-dropping-particle&quot;:&quot;&quot;,&quot;parse-names&quot;:false,&quot;suffix&quot;:&quot;&quot;}],&quot;container-title&quot;:&quot;American Journal of Tropical Medicine and Hygiene&quot;,&quot;id&quot;:&quot;b6f04043-a54d-3237-bbef-9b0724c9cd46&quot;,&quot;issue&quot;:&quot;1&quot;,&quot;issued&quot;:{&quot;date-parts&quot;:[[&quot;2017&quot;]]},&quot;page&quot;:&quot;14-15&quot;,&quot;title&quot;:&quot;Priorities for the priority review voucher&quot;,&quot;type&quot;:&quot;article-journal&quot;,&quot;volume&quot;:&quot;96&quot;},&quot;uris&quot;:[&quot;http://www.mendeley.com/documents/?uuid=9e5c733e-27fc-4e42-8fe6-84e05f427623&quot;],&quot;isTemporary&quot;:false,&quot;legacyDesktopId&quot;:&quot;9e5c733e-27fc-4e42-8fe6-84e05f427623&quot;}],&quot;properties&quot;:{&quot;noteIndex&quot;:0},&quot;isEdited&quot;:false,&quot;manualOverride&quot;:{&quot;citeprocText&quot;:&quot;&lt;span style=\&quot;baseline\&quot;&gt;[1]&lt;/span&gt;&quot;,&quot;isManuallyOverridden&quot;:false,&quot;manualOverrideText&quot;:&quot;&quot;},&quot;citationTag&quot;:&quot;MENDELEY_CITATION_v3_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&quot;},{&quot;citationID&quot;:&quot;MENDELEY_CITATION_2bc6c89d-b88d-4d8f-9e97-e9d8fb3515a9&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MmJjNmM4OWQtYjg4ZC00ZDhmLTllOTctZTlkOGZiMzUxNWE5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1ac2dcf1-df35-4f71-9016-3dc3a4e4425c&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MWFjMmRjZjEtZGYzNS00ZjcxLTkwMTYtM2RjM2E0ZTQ0MjVj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32f598cf-aea0-4e23-80aa-10b2323c2b6c&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MzJmNTk4Y2YtYWVhMC00ZTIzLTgwYWEtMTBiMjMyM2MyYjZj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9fd47d87-93b3-4115-ae77-783dc57dee36&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OWZkNDdkODctOTNiMy00MTE1LWFlNzctNzgzZGM1N2RlZTM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f6c8672e-ae9f-4ce7-ac2e-019b7d146216&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ZjZjODY3MmUtYWU5Zi00Y2U3LWFjMmUtMDE5YjdkMTQ2MjE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b21cf1b2-dbe0-4584-a146-aa3e9ab99d36&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YjIxY2YxYjItZGJlMC00NTg0LWExNDYtYWEzZTlhYjk5ZDM2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f000d9fa-ef0c-4ce2-9b83-98c2d21427ab&quot;,&quot;citationItems&quot;:[{&quot;id&quot;:&quot;567dc7a9-56b6-3301-a31c-a00935127563&quot;,&quot;itemData&quot;:{&quot;author&quot;:[{&quot;dropping-particle&quot;:&quot;&quot;,&quot;family&quot;:&quot;Raggio&quot;,&quot;given&quot;:&quot;Miranda&quot;,&quot;non-dropping-particle&quot;:&quot;&quot;,&quot;parse-names&quot;:false,&quot;suffix&quot;:&quot;&quot;}],&quot;id&quot;:&quot;567dc7a9-56b6-3301-a31c-a00935127563&quot;,&quot;issued&quot;:{&quot;date-parts&quot;:[[&quot;2015&quot;]]},&quot;title&quot;:&quot;Overview of FDA Expedited Programs with a Focus on Breakthrough Therapy&quot;,&quot;type&quot;:&quot;article-journal&quot;},&quot;uris&quot;:[&quot;http://www.mendeley.com/documents/?uuid=591ce76d-71c4-4731-8902-fd35d180dfe8&quot;],&quot;isTemporary&quot;:false,&quot;legacyDesktopId&quot;:&quot;591ce76d-71c4-4731-8902-fd35d180dfe8&quot;}],&quot;properties&quot;:{&quot;noteIndex&quot;:0},&quot;isEdited&quot;:false,&quot;manualOverride&quot;:{&quot;citeprocText&quot;:&quot;&lt;span style=\&quot;baseline\&quot;&gt;[2]&lt;/span&gt;&quot;,&quot;isManuallyOverridden&quot;:false,&quot;manualOverrideText&quot;:&quot;&quot;},&quot;citationTag&quot;:&quot;MENDELEY_CITATION_v3_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&quot;},{&quot;citationID&quot;:&quot;MENDELEY_CITATION_93c7beb8-0982-4481-b67c-55be79878561&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OTNjN2JlYjgtMDk4Mi00NDgxLWI2N2MtNTViZTc5ODc4NTYx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36dd18aa-4dbf-41ce-bc25-980ff095e702&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MzZkZDE4YWEtNGRiZi00MWNlLWJjMjUtOTgwZmYwOTVlNzAy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8db47b3c-9cb2-47a5-a9b0-08fe84763bc7&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OGRiNDdiM2MtOWNiMi00N2E1LWE5YjAtMDhmZTg0NzYzYmM3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4bdb143c-3b85-4efb-bb95-949f3a2c6496&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NGJkYjE0M2MtM2I4NS00ZWZiLWJiOTUtOTQ5ZjNhMmM2NDk2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c9903172-9a33-4f32-b206-5455966d5d64&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Yzk5MDMxNzItOWEzMy00ZjMyLWIyMDYtNTQ1NTk2NmQ1ZDY0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21815f25-30fd-467d-9510-237467af630f&quot;,&quot;citationItems&quot;:[{&quot;id&quot;:&quot;f6b0f770-e36d-3883-b827-b0e740a42f59&quot;,&quot;itemData&quot;:{&quot;DOI&quot;:&quot;10.1016/j.biologicals.2015.04.004&quot;,&quot;ISBN&quot;:&quot;1045-1056&quot;,&quot;ISSN&quot;:&quot;10958320&quot;,&quot;PMID&quot;:&quot;25997566&quot;,&quot;abstract&quot;:&quot;This article addresses regulation of cell therapies in the European Union (EU), covering cell sourcing and applications for clinical trials and marketing authorisation applications. Regulatory oversight of cell sourcing and review of applications for clinical trials with cell therapies are handled at national level, that is, separately with each country making its own decisions. For clinical trials, this can lead to different decisions in different countries for the same trial. A regulation is soon to come into force that will address this and introduce a more efficient clinical trial application process. However, at the marketing authorisation stage, the process is pan-national: the Committee for Human Medicinal Products (CHMP) is responsible for giving the final scientific opinion on all EU marketing authorisation applications for cell therapies: favourable scientific opinions are passed to the European Commission (EC) for further consultation and, if successful, grant of a marketing authorisation valid in all 28 EU countries. In its review of applications for marketing authorisations (MAAs) for cell therapies, the CHMP is obliged to consult the Committee for Advanced Therapies (CAT), who conduct detailed scientific assessments of these applications, with assessment by staff from national regulatory authorities and specialist advisors to the regulators.&quot;,&quot;author&quot;:[{&quot;dropping-particle&quot;:&quot;&quot;,&quot;family&quot;:&quot;McBlane&quot;,&quot;given&quot;:&quot;James W.&quot;,&quot;non-dropping-particle&quot;:&quot;&quot;,&quot;parse-names&quot;:false,&quot;suffix&quot;:&quot;&quot;}],&quot;container-title&quot;:&quot;Biologicals&quot;,&quot;id&quot;:&quot;f6b0f770-e36d-3883-b827-b0e740a42f59&quot;,&quot;issue&quot;:&quot;5&quot;,&quot;issued&quot;:{&quot;date-parts&quot;:[[&quot;2015&quot;]]},&quot;page&quot;:&quot;433-436&quot;,&quot;publisher&quot;:&quot;Elsevier Ltd&quot;,&quot;title&quot;:&quot;Regulatory landscape for cell therapy - EU view&quot;,&quot;type&quot;:&quot;article-journal&quot;,&quot;volume&quot;:&quot;43&quot;},&quot;uris&quot;:[&quot;http://www.mendeley.com/documents/?uuid=852c9f30-e44c-4251-bcff-4e6ba5b4ebb1&quot;],&quot;isTemporary&quot;:false,&quot;legacyDesktopId&quot;:&quot;852c9f30-e44c-4251-bcff-4e6ba5b4ebb1&quot;}],&quot;properties&quot;:{&quot;noteIndex&quot;:0},&quot;isEdited&quot;:false,&quot;manualOverride&quot;:{&quot;citeprocText&quot;:&quot;&lt;span style=\&quot;baseline\&quot;&gt;[3]&lt;/span&gt;&quot;,&quot;isManuallyOverridden&quot;:false,&quot;manualOverrideText&quot;:&quot;&quot;},&quot;citationTag&quot;:&quot;MENDELEY_CITATION_v3_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&quot;},{&quot;citationID&quot;:&quot;MENDELEY_CITATION_2aa4490b-5800-4759-8d40-d2a48ac9c879&quot;,&quot;citationItems&quot;:[{&quot;id&quot;:&quot;93f2cc34-7edd-51ef-81a0-628929ccc1b7&quot;,&quot;itemData&quot;:{&quot;DOI&quot;:&quot;10.1002/term.2428&quot;,&quot;ISSN&quot;:&quot;19327005&quot;,&quot;PMID&quot;:&quot;28211195&quot;,&quot;abstract&quot;:&quot;Copyright © 2017 The Authors. Tissue Engineering Regenerative Medicine published by John Wiley  &amp;  Sons, Ltd. Legislation for expedited-approval pathways and programmes for drugs, biologics or medical devices has been enacted for rapid commercialization of innovative products in the United States of America (USA) and the European Union (EU). However, less innovative products are increasingly benefitting from these expedited-approval pathways, and obligations to collect and report post-marketing data on approved products are being bypassed frequently. The Japanese government recently enacted legislation for a new conditional and time-limited approval pathway dedicated to regenerative medicine products. The current study examines this new legislation and compares it with existing US and EU regulatory frameworks, with a particular focus on how it addresses the limitations of existing systems. Regulations, guidance documents and approval information were gathered from the websites of the respective authorities in the USA, the EU and Japan, and the systems were categorized through qualitative analysis. The pathways and programmes from each region were categorized into four groups, based on the requirement of pre- or post-marketing clinical data. Expedited-approval pathways in the USA and the EU provide similar qualification criteria, such as severity of target disease; however, such criteria are not specified for the new pathway in Japan. Only the Japanese pathway stipulates a time limitation on exceptional approval, requiring post-marketing study for conditional and time-limited products. Continuous improvement is necessary to solve previously addressed issues within the expedited-approval pathways and programmes and to ensure that innovative medical products are rigourously screened, but also readily available to patients in need. The time limitation of conditional approval could be a potential solution to some of these problems. Copyright © 2017 The Authors. Tissue Engineering Regenerative Medicine published by John Wiley  &amp;  Sons, Ltd.&quot;,&quot;author&quot;:[{&quot;dropping-particle&quot;:&quot;&quot;,&quot;family&quot;:&quot;Jokura&quot;,&quot;given&quot;:&quot;Yoji&quot;,&quot;non-dropping-particle&quot;:&quot;&quot;,&quot;parse-names&quot;:false,&quot;suffix&quot;:&quot;&quot;},{&quot;dropping-particle&quot;:&quot;&quot;,&quot;family&quot;:&quot;Yano&quot;,&quot;given&quot;:&quot;Kazuo&quot;,&quot;non-dropping-particle&quot;:&quot;&quot;,&quot;parse-names&quot;:false,&quot;suffix&quot;:&quot;&quot;},{&quot;dropping-particle&quot;:&quot;&quot;,&quot;family&quot;:&quot;Yamato&quot;,&quot;given&quot;:&quot;Masayuki&quot;,&quot;non-dropping-particle&quot;:&quot;&quot;,&quot;parse-names&quot;:false,&quot;suffix&quot;:&quot;&quot;}],&quot;container-title&quot;:&quot;Journal of Tissue Engineering and Regenerative Medicine&quot;,&quot;id&quot;:&quot;93f2cc34-7edd-51ef-81a0-628929ccc1b7&quot;,&quot;issue&quot;:&quot;2&quot;,&quot;issued&quot;:{&quot;date-parts&quot;:[[&quot;2018&quot;]]},&quot;page&quot;:&quot;e1056-e1062&quot;,&quot;title&quot;:&quot;Comparison of the new Japanese legislation for expedited approval of regenerative medicine products with the existing systems in the USA and European Union&quot;,&quot;type&quot;:&quot;article-journal&quot;,&quot;volume&quot;:&quot;12&quot;},&quot;uris&quot;:[&quot;http://www.mendeley.com/documents/?uuid=c57ac0b7-2017-4ee3-8201-fba189448d2c&quot;],&quot;isTemporary&quot;:false,&quot;legacyDesktopId&quot;:&quot;c57ac0b7-2017-4ee3-8201-fba189448d2c&quot;}],&quot;properties&quot;:{&quot;noteIndex&quot;:0},&quot;isEdited&quot;:false,&quot;manualOverride&quot;:{&quot;citeprocText&quot;:&quot;&lt;span style=\&quot;baseline\&quot;&gt;[4]&lt;/span&gt;&quot;,&quot;isManuallyOverridden&quot;:false,&quot;manualOverrideText&quot;:&quot;&quot;},&quot;citationTag&quot;:&quot;MENDELEY_CITATION_v3_eyJjaXRhdGlvbklEIjoiTUVOREVMRVlfQ0lUQVRJT05fMmFhNDQ5MGItNTgwMC00NzU5LThkNDAtZDJhNDhhYzljODc5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quot;},{&quot;citationID&quot;:&quot;MENDELEY_CITATION_c7f352a5-eae8-4858-8abf-0a34dc9f67d7&quot;,&quot;citationItems&quot;:[{&quot;id&quot;:&quot;93f2cc34-7edd-51ef-81a0-628929ccc1b7&quot;,&quot;itemData&quot;:{&quot;DOI&quot;:&quot;10.1002/term.2428&quot;,&quot;ISSN&quot;:&quot;19327005&quot;,&quot;PMID&quot;:&quot;28211195&quot;,&quot;abstract&quot;:&quot;Copyright © 2017 The Authors. Tissue Engineering Regenerative Medicine published by John Wiley  &amp;  Sons, Ltd. Legislation for expedited-approval pathways and programmes for drugs, biologics or medical devices has been enacted for rapid commercialization of innovative products in the United States of America (USA) and the European Union (EU). However, less innovative products are increasingly benefitting from these expedited-approval pathways, and obligations to collect and report post-marketing data on approved products are being bypassed frequently. The Japanese government recently enacted legislation for a new conditional and time-limited approval pathway dedicated to regenerative medicine products. The current study examines this new legislation and compares it with existing US and EU regulatory frameworks, with a particular focus on how it addresses the limitations of existing systems. Regulations, guidance documents and approval information were gathered from the websites of the respective authorities in the USA, the EU and Japan, and the systems were categorized through qualitative analysis. The pathways and programmes from each region were categorized into four groups, based on the requirement of pre- or post-marketing clinical data. Expedited-approval pathways in the USA and the EU provide similar qualification criteria, such as severity of target disease; however, such criteria are not specified for the new pathway in Japan. Only the Japanese pathway stipulates a time limitation on exceptional approval, requiring post-marketing study for conditional and time-limited products. Continuous improvement is necessary to solve previously addressed issues within the expedited-approval pathways and programmes and to ensure that innovative medical products are rigourously screened, but also readily available to patients in need. The time limitation of conditional approval could be a potential solution to some of these problems. Copyright © 2017 The Authors. Tissue Engineering Regenerative Medicine published by John Wiley  &amp;  Sons, Ltd.&quot;,&quot;author&quot;:[{&quot;dropping-particle&quot;:&quot;&quot;,&quot;family&quot;:&quot;Jokura&quot;,&quot;given&quot;:&quot;Yoji&quot;,&quot;non-dropping-particle&quot;:&quot;&quot;,&quot;parse-names&quot;:false,&quot;suffix&quot;:&quot;&quot;},{&quot;dropping-particle&quot;:&quot;&quot;,&quot;family&quot;:&quot;Yano&quot;,&quot;given&quot;:&quot;Kazuo&quot;,&quot;non-dropping-particle&quot;:&quot;&quot;,&quot;parse-names&quot;:false,&quot;suffix&quot;:&quot;&quot;},{&quot;dropping-particle&quot;:&quot;&quot;,&quot;family&quot;:&quot;Yamato&quot;,&quot;given&quot;:&quot;Masayuki&quot;,&quot;non-dropping-particle&quot;:&quot;&quot;,&quot;parse-names&quot;:false,&quot;suffix&quot;:&quot;&quot;}],&quot;container-title&quot;:&quot;Journal of Tissue Engineering and Regenerative Medicine&quot;,&quot;id&quot;:&quot;93f2cc34-7edd-51ef-81a0-628929ccc1b7&quot;,&quot;issue&quot;:&quot;2&quot;,&quot;issued&quot;:{&quot;date-parts&quot;:[[&quot;2018&quot;]]},&quot;page&quot;:&quot;e1056-e1062&quot;,&quot;title&quot;:&quot;Comparison of the new Japanese legislation for expedited approval of regenerative medicine products with the existing systems in the USA and European Union&quot;,&quot;type&quot;:&quot;article-journal&quot;,&quot;volume&quot;:&quot;12&quot;},&quot;uris&quot;:[&quot;http://www.mendeley.com/documents/?uuid=c57ac0b7-2017-4ee3-8201-fba189448d2c&quot;],&quot;isTemporary&quot;:false,&quot;legacyDesktopId&quot;:&quot;c57ac0b7-2017-4ee3-8201-fba189448d2c&quot;}],&quot;properties&quot;:{&quot;noteIndex&quot;:0},&quot;isEdited&quot;:false,&quot;manualOverride&quot;:{&quot;citeprocText&quot;:&quot;&lt;span style=\&quot;baseline\&quot;&gt;[4]&lt;/span&gt;&quot;,&quot;isManuallyOverridden&quot;:false,&quot;manualOverrideText&quot;:&quot;&quot;},&quot;citationTag&quot;:&quot;MENDELEY_CITATION_v3_eyJjaXRhdGlvbklEIjoiTUVOREVMRVlfQ0lUQVRJT05fYzdmMzUyYTUtZWFlOC00ODU4LThhYmYtMGEzNGRjOWY2N2Q3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quot;},{&quot;citationID&quot;:&quot;MENDELEY_CITATION_a8855a32-f258-40e8-934d-1ea7a81d0e5d&quot;,&quot;citationItems&quot;:[{&quot;id&quot;:&quot;93f2cc34-7edd-51ef-81a0-628929ccc1b7&quot;,&quot;itemData&quot;:{&quot;DOI&quot;:&quot;10.1002/term.2428&quot;,&quot;ISSN&quot;:&quot;19327005&quot;,&quot;PMID&quot;:&quot;28211195&quot;,&quot;abstract&quot;:&quot;Copyright © 2017 The Authors. Tissue Engineering Regenerative Medicine published by John Wiley  &amp;  Sons, Ltd. Legislation for expedited-approval pathways and programmes for drugs, biologics or medical devices has been enacted for rapid commercialization of innovative products in the United States of America (USA) and the European Union (EU). However, less innovative products are increasingly benefitting from these expedited-approval pathways, and obligations to collect and report post-marketing data on approved products are being bypassed frequently. The Japanese government recently enacted legislation for a new conditional and time-limited approval pathway dedicated to regenerative medicine products. The current study examines this new legislation and compares it with existing US and EU regulatory frameworks, with a particular focus on how it addresses the limitations of existing systems. Regulations, guidance documents and approval information were gathered from the websites of the respective authorities in the USA, the EU and Japan, and the systems were categorized through qualitative analysis. The pathways and programmes from each region were categorized into four groups, based on the requirement of pre- or post-marketing clinical data. Expedited-approval pathways in the USA and the EU provide similar qualification criteria, such as severity of target disease; however, such criteria are not specified for the new pathway in Japan. Only the Japanese pathway stipulates a time limitation on exceptional approval, requiring post-marketing study for conditional and time-limited products. Continuous improvement is necessary to solve previously addressed issues within the expedited-approval pathways and programmes and to ensure that innovative medical products are rigourously screened, but also readily available to patients in need. The time limitation of conditional approval could be a potential solution to some of these problems. Copyright © 2017 The Authors. Tissue Engineering Regenerative Medicine published by John Wiley  &amp;  Sons, Ltd.&quot;,&quot;author&quot;:[{&quot;dropping-particle&quot;:&quot;&quot;,&quot;family&quot;:&quot;Jokura&quot;,&quot;given&quot;:&quot;Yoji&quot;,&quot;non-dropping-particle&quot;:&quot;&quot;,&quot;parse-names&quot;:false,&quot;suffix&quot;:&quot;&quot;},{&quot;dropping-particle&quot;:&quot;&quot;,&quot;family&quot;:&quot;Yano&quot;,&quot;given&quot;:&quot;Kazuo&quot;,&quot;non-dropping-particle&quot;:&quot;&quot;,&quot;parse-names&quot;:false,&quot;suffix&quot;:&quot;&quot;},{&quot;dropping-particle&quot;:&quot;&quot;,&quot;family&quot;:&quot;Yamato&quot;,&quot;given&quot;:&quot;Masayuki&quot;,&quot;non-dropping-particle&quot;:&quot;&quot;,&quot;parse-names&quot;:false,&quot;suffix&quot;:&quot;&quot;}],&quot;container-title&quot;:&quot;Journal of Tissue Engineering and Regenerative Medicine&quot;,&quot;id&quot;:&quot;93f2cc34-7edd-51ef-81a0-628929ccc1b7&quot;,&quot;issue&quot;:&quot;2&quot;,&quot;issued&quot;:{&quot;date-parts&quot;:[[&quot;2018&quot;]]},&quot;page&quot;:&quot;e1056-e1062&quot;,&quot;title&quot;:&quot;Comparison of the new Japanese legislation for expedited approval of regenerative medicine products with the existing systems in the USA and European Union&quot;,&quot;type&quot;:&quot;article-journal&quot;,&quot;volume&quot;:&quot;12&quot;},&quot;uris&quot;:[&quot;http://www.mendeley.com/documents/?uuid=c57ac0b7-2017-4ee3-8201-fba189448d2c&quot;],&quot;isTemporary&quot;:false,&quot;legacyDesktopId&quot;:&quot;c57ac0b7-2017-4ee3-8201-fba189448d2c&quot;}],&quot;properties&quot;:{&quot;noteIndex&quot;:0},&quot;isEdited&quot;:false,&quot;manualOverride&quot;:{&quot;citeprocText&quot;:&quot;&lt;span style=\&quot;baseline\&quot;&gt;[4]&lt;/span&gt;&quot;,&quot;isManuallyOverridden&quot;:false,&quot;manualOverrideText&quot;:&quot;&quot;},&quot;citationTag&quot;:&quot;MENDELEY_CITATION_v3_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&quot;},{&quot;citationID&quot;:&quot;MENDELEY_CITATION_0b270945-9bd4-4525-817c-e1e873f5b840&quot;,&quot;citationItems&quot;:[{&quot;id&quot;:&quot;062cbc14-04ec-30a4-b813-ed696a4bd68f&quot;,&quot;itemData&quot;:{&quot;author&quot;:[{&quot;dropping-particle&quot;:&quot;&quot;,&quot;family&quot;:&quot;MHLW&quot;,&quot;given&quot;:&quot;&quot;,&quot;non-dropping-particle&quot;:&quot;&quot;,&quot;parse-names&quot;:false,&quot;suffix&quot;:&quot;&quot;}],&quot;id&quot;:&quot;062cbc14-04ec-30a4-b813-ed696a4bd68f&quot;,&quot;issued&quot;:{&quot;date-parts&quot;:[[&quot;2014&quot;]]},&quot;page&quot;:&quot;20&quot;,&quot;title&quot;:&quot;Strategy of SAKIGAKE-the Ministry of Health, Labour and Welfare&quot;,&quot;type&quot;:&quot;article-journal&quot;},&quot;uris&quot;:[&quot;http://www.mendeley.com/documents/?uuid=f15f7912-73ef-4d81-a138-52f91872000c&quot;],&quot;isTemporary&quot;:false,&quot;legacyDesktopId&quot;:&quot;f15f7912-73ef-4d81-a138-52f91872000c&quot;}],&quot;properties&quot;:{&quot;noteIndex&quot;:0},&quot;isEdited&quot;:false,&quot;manualOverride&quot;:{&quot;citeprocText&quot;:&quot;&lt;span style=\&quot;baseline\&quot;&gt;[5]&lt;/span&gt;&quot;,&quot;isManuallyOverridden&quot;:false,&quot;manualOverrideText&quot;:&quot;&quot;},&quot;citationTag&quot;:&quot;MENDELEY_CITATION_v3_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&quot;},{&quot;citationID&quot;:&quot;MENDELEY_CITATION_ed7ed077-69cd-4016-bd5e-f34963928221&quot;,&quot;citationItems&quot;:[{&quot;id&quot;:&quot;0a355548-99dc-331b-b1bc-9933881f122c&quot;,&quot;itemData&quot;:{&quot;URL&quot;:&quot;https://www.pmda.go.jp/files/000219466.pdf&quot;,&quot;author&quot;:[{&quot;dropping-particle&quot;:&quot;&quot;,&quot;family&quot;:&quot;Maruyama&quot;,&quot;given&quot;:&quot;Yoshiaki&quot;,&quot;non-dropping-particle&quot;:&quot;&quot;,&quot;parse-names&quot;:false,&quot;suffix&quot;:&quot;&quot;}],&quot;container-title&quot;:&quot;Health Products Regulatory Conference&quot;,&quot;id&quot;:&quot;0a355548-99dc-331b-b1bc-9933881f122c&quot;,&quot;issued&quot;:{&quot;date-parts&quot;:[[&quot;2017&quot;]]},&quot;title&quot;:&quot;Regulation of Regenerative Medicine in Japan&quot;,&quot;type&quot;:&quot;webpage&quot;},&quot;uris&quot;:[&quot;http://www.mendeley.com/documents/?uuid=50d82bde-c168-46e6-b3e1-f48c83db402c&quot;],&quot;isTemporary&quot;:false,&quot;legacyDesktopId&quot;:&quot;50d82bde-c168-46e6-b3e1-f48c83db402c&quot;}],&quot;properties&quot;:{&quot;noteIndex&quot;:0},&quot;isEdited&quot;:false,&quot;manualOverride&quot;:{&quot;citeprocText&quot;:&quot;&lt;span style=\&quot;baseline\&quot;&gt;[6]&lt;/span&gt;&quot;,&quot;isManuallyOverridden&quot;:false,&quot;manualOverrideText&quot;:&quot;&quot;},&quot;citationTag&quot;:&quot;MENDELEY_CITATION_v3_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&quot;},{&quot;citationID&quot;:&quot;MENDELEY_CITATION_67170677-dcd5-407a-afc3-3327fb8dd331&quot;,&quot;citationItems&quot;:[{&quot;id&quot;:&quot;146c378a-0163-3c45-91dd-ab407457abed&quot;,&quot;itemData&quot;:{&quot;URL&quot;:&quot;http://www.sfda.gov.cn/WS01/CL0087/172567.html (Archived by WebCite® at http://www.webcitation.org/73nSO5868)&quot;,&quot;accessed&quot;:{&quot;date-parts&quot;:[[&quot;2018&quot;,&quot;4&quot;,&quot;2&quot;]]},&quot;author&quot;:[{&quot;dropping-particle&quot;:&quot;&quot;,&quot;family&quot;:&quot;CFDA&quot;,&quot;given&quot;:&quot;&quot;,&quot;non-dropping-particle&quot;:&quot;&quot;,&quot;parse-names&quot;:false,&quot;suffix&quot;:&quot;&quot;}],&quot;id&quot;:&quot;146c378a-0163-3c45-91dd-ab407457abed&quot;,&quot;issued&quot;:{&quot;date-parts&quot;:[[&quot;2017&quot;]]},&quot;title&quot;:&quot;总局关于征求《关于鼓励药品医疗器械创新加快新药医疗器械上市审评审批的相关政策》（征求意见稿）意见的公告（2017年第52号）(Translation: Encouraging Innovation and Accelerating the Review and Approval of New Drugs and Medical Devices (Draft for comment))&quot;,&quot;type&quot;:&quot;webpage&quot;},&quot;uris&quot;:[&quot;http://www.mendeley.com/documents/?uuid=146c378a-0163-3c45-91dd-ab407457abed&quot;],&quot;isTemporary&quot;:false,&quot;legacyDesktopId&quot;:&quot;146c378a-0163-3c45-91dd-ab407457abed&quot;}],&quot;properties&quot;:{&quot;noteIndex&quot;:0},&quot;isEdited&quot;:false,&quot;manualOverride&quot;:{&quot;citeprocText&quot;:&quot;&lt;span style=\&quot;baseline\&quot;&gt;[7]&lt;/span&gt;&quot;,&quot;isManuallyOverridden&quot;:false,&quot;manualOverrideText&quot;:&quot;&quot;},&quot;citationTag&quot;:&quot;MENDELEY_CITATION_v3_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&quot;}]"/>
    <we:property name="MENDELEY_CITATIONS_STYLE" value="&quot;https://www.zotero.org/styles/future-medici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8F307-0BBB-487D-9EBC-2740446A1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Ching Lam</dc:creator>
  <cp:keywords/>
  <dc:description/>
  <cp:lastModifiedBy>Ching Lam</cp:lastModifiedBy>
  <cp:revision>4</cp:revision>
  <dcterms:created xsi:type="dcterms:W3CDTF">2021-05-05T13:42:00Z</dcterms:created>
  <dcterms:modified xsi:type="dcterms:W3CDTF">2021-09-08T21:12:00Z</dcterms:modified>
</cp:coreProperties>
</file>